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val="0"/>
          <w:color w:val="000000"/>
          <w:kern w:val="0"/>
          <w:sz w:val="36"/>
          <w:szCs w:val="36"/>
          <w:lang w:val="en-US" w:eastAsia="zh-CN"/>
        </w:rPr>
      </w:pPr>
    </w:p>
    <w:p>
      <w:pPr>
        <w:jc w:val="center"/>
        <w:rPr>
          <w:rFonts w:hint="eastAsia" w:ascii="方正小标宋_GBK" w:hAnsi="方正小标宋_GBK" w:eastAsia="方正小标宋_GBK" w:cs="方正小标宋_GBK"/>
          <w:b w:val="0"/>
          <w:bCs w:val="0"/>
          <w:color w:val="000000"/>
          <w:kern w:val="0"/>
          <w:sz w:val="36"/>
          <w:szCs w:val="36"/>
          <w:lang w:val="en-US" w:eastAsia="zh-CN"/>
        </w:rPr>
      </w:pPr>
      <w:r>
        <w:rPr>
          <w:rFonts w:hint="eastAsia" w:ascii="方正小标宋_GBK" w:hAnsi="方正小标宋_GBK" w:eastAsia="方正小标宋_GBK" w:cs="方正小标宋_GBK"/>
          <w:b w:val="0"/>
          <w:bCs w:val="0"/>
          <w:color w:val="000000"/>
          <w:kern w:val="0"/>
          <w:sz w:val="36"/>
          <w:szCs w:val="36"/>
          <w:lang w:val="en-US" w:eastAsia="zh-CN"/>
        </w:rPr>
        <w:t>四川种业集团企业年金受托管理机构比选评分标准</w:t>
      </w:r>
    </w:p>
    <w:p>
      <w:pPr>
        <w:pStyle w:val="2"/>
        <w:keepNext/>
        <w:keepLines/>
        <w:pageBreakBefore w:val="0"/>
        <w:widowControl w:val="0"/>
        <w:kinsoku/>
        <w:wordWrap/>
        <w:overflowPunct/>
        <w:topLinePunct w:val="0"/>
        <w:autoSpaceDE/>
        <w:autoSpaceDN/>
        <w:bidi w:val="0"/>
        <w:adjustRightInd/>
        <w:snapToGrid/>
        <w:spacing w:before="0" w:after="0" w:line="400" w:lineRule="exact"/>
        <w:textAlignment w:val="auto"/>
        <w:rPr>
          <w:rFonts w:hint="eastAsia" w:ascii="方正仿宋_GBK" w:hAnsi="方正仿宋_GBK" w:eastAsia="方正仿宋_GBK" w:cs="方正仿宋_GBK"/>
          <w:b w:val="0"/>
          <w:bCs w:val="0"/>
          <w:color w:val="000000"/>
          <w:kern w:val="0"/>
          <w:sz w:val="32"/>
          <w:szCs w:val="32"/>
          <w:lang w:val="en-US" w:eastAsia="zh-CN"/>
        </w:rPr>
      </w:pPr>
    </w:p>
    <w:p>
      <w:pPr>
        <w:pStyle w:val="2"/>
        <w:keepNext/>
        <w:keepLines/>
        <w:pageBreakBefore w:val="0"/>
        <w:widowControl w:val="0"/>
        <w:kinsoku/>
        <w:wordWrap/>
        <w:overflowPunct/>
        <w:topLinePunct w:val="0"/>
        <w:autoSpaceDE/>
        <w:autoSpaceDN/>
        <w:bidi w:val="0"/>
        <w:adjustRightInd/>
        <w:snapToGrid/>
        <w:spacing w:before="0" w:after="0" w:line="400" w:lineRule="exact"/>
        <w:textAlignment w:val="auto"/>
        <w:rPr>
          <w:rFonts w:hint="default"/>
          <w:lang w:val="en-US" w:eastAsia="zh-CN"/>
        </w:rPr>
      </w:pPr>
      <w:r>
        <w:rPr>
          <w:rFonts w:hint="eastAsia" w:ascii="方正仿宋_GBK" w:hAnsi="方正仿宋_GBK" w:eastAsia="方正仿宋_GBK" w:cs="方正仿宋_GBK"/>
          <w:b w:val="0"/>
          <w:bCs w:val="0"/>
          <w:color w:val="000000"/>
          <w:kern w:val="0"/>
          <w:sz w:val="32"/>
          <w:szCs w:val="32"/>
          <w:lang w:val="en-US" w:eastAsia="zh-CN"/>
        </w:rPr>
        <w:t>被评单位：</w:t>
      </w:r>
    </w:p>
    <w:tbl>
      <w:tblPr>
        <w:tblStyle w:val="5"/>
        <w:tblW w:w="8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876"/>
        <w:gridCol w:w="4055"/>
        <w:gridCol w:w="843"/>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35" w:type="dxa"/>
          </w:tcPr>
          <w:p>
            <w:pPr>
              <w:keepNext w:val="0"/>
              <w:keepLines w:val="0"/>
              <w:pageBreakBefore w:val="0"/>
              <w:widowControl w:val="0"/>
              <w:kinsoku/>
              <w:wordWrap w:val="0"/>
              <w:overflowPunct/>
              <w:topLinePunct/>
              <w:autoSpaceDE/>
              <w:autoSpaceDN/>
              <w:bidi w:val="0"/>
              <w:adjustRightInd/>
              <w:snapToGrid/>
              <w:spacing w:line="240" w:lineRule="atLeast"/>
              <w:jc w:val="center"/>
              <w:textAlignment w:val="auto"/>
              <w:rPr>
                <w:rFonts w:hint="eastAsia" w:ascii="方正黑体_GBK" w:hAnsi="方正黑体_GBK" w:eastAsia="方正黑体_GBK" w:cs="方正黑体_GBK"/>
                <w:b w:val="0"/>
                <w:bCs w:val="0"/>
                <w:color w:val="000000"/>
                <w:kern w:val="0"/>
                <w:sz w:val="21"/>
                <w:szCs w:val="21"/>
                <w:vertAlign w:val="baseline"/>
                <w:lang w:val="en-US" w:eastAsia="zh-CN"/>
              </w:rPr>
            </w:pPr>
            <w:r>
              <w:rPr>
                <w:rFonts w:hint="eastAsia" w:ascii="方正黑体_GBK" w:hAnsi="方正黑体_GBK" w:eastAsia="方正黑体_GBK" w:cs="方正黑体_GBK"/>
                <w:b w:val="0"/>
                <w:bCs w:val="0"/>
                <w:color w:val="000000"/>
                <w:kern w:val="0"/>
                <w:sz w:val="21"/>
                <w:szCs w:val="21"/>
                <w:vertAlign w:val="baseline"/>
                <w:lang w:val="en-US" w:eastAsia="zh-CN"/>
              </w:rPr>
              <w:t>比选</w:t>
            </w:r>
          </w:p>
          <w:p>
            <w:pPr>
              <w:keepNext w:val="0"/>
              <w:keepLines w:val="0"/>
              <w:pageBreakBefore w:val="0"/>
              <w:widowControl w:val="0"/>
              <w:kinsoku/>
              <w:wordWrap w:val="0"/>
              <w:overflowPunct/>
              <w:topLinePunct/>
              <w:autoSpaceDE/>
              <w:autoSpaceDN/>
              <w:bidi w:val="0"/>
              <w:adjustRightInd/>
              <w:snapToGrid/>
              <w:spacing w:line="240" w:lineRule="atLeast"/>
              <w:jc w:val="center"/>
              <w:textAlignment w:val="auto"/>
              <w:rPr>
                <w:rFonts w:hint="default" w:ascii="方正黑体_GBK" w:hAnsi="方正黑体_GBK" w:eastAsia="方正黑体_GBK" w:cs="方正黑体_GBK"/>
                <w:b w:val="0"/>
                <w:bCs w:val="0"/>
                <w:color w:val="000000"/>
                <w:kern w:val="0"/>
                <w:sz w:val="21"/>
                <w:szCs w:val="21"/>
                <w:vertAlign w:val="baseline"/>
                <w:lang w:val="en-US" w:eastAsia="zh-CN"/>
              </w:rPr>
            </w:pPr>
            <w:r>
              <w:rPr>
                <w:rFonts w:hint="eastAsia" w:ascii="方正黑体_GBK" w:hAnsi="方正黑体_GBK" w:eastAsia="方正黑体_GBK" w:cs="方正黑体_GBK"/>
                <w:b w:val="0"/>
                <w:bCs w:val="0"/>
                <w:color w:val="000000"/>
                <w:kern w:val="0"/>
                <w:sz w:val="21"/>
                <w:szCs w:val="21"/>
                <w:vertAlign w:val="baseline"/>
                <w:lang w:val="en-US" w:eastAsia="zh-CN"/>
              </w:rPr>
              <w:t>事项</w:t>
            </w:r>
          </w:p>
        </w:tc>
        <w:tc>
          <w:tcPr>
            <w:tcW w:w="1876" w:type="dxa"/>
          </w:tcPr>
          <w:p>
            <w:pPr>
              <w:keepNext w:val="0"/>
              <w:keepLines w:val="0"/>
              <w:pageBreakBefore w:val="0"/>
              <w:widowControl w:val="0"/>
              <w:kinsoku/>
              <w:wordWrap w:val="0"/>
              <w:overflowPunct/>
              <w:topLinePunct/>
              <w:autoSpaceDE/>
              <w:autoSpaceDN/>
              <w:bidi w:val="0"/>
              <w:adjustRightInd/>
              <w:snapToGrid/>
              <w:spacing w:line="240" w:lineRule="atLeast"/>
              <w:jc w:val="center"/>
              <w:textAlignment w:val="auto"/>
              <w:rPr>
                <w:rFonts w:hint="default" w:ascii="方正黑体_GBK" w:hAnsi="方正黑体_GBK" w:eastAsia="方正黑体_GBK" w:cs="方正黑体_GBK"/>
                <w:b w:val="0"/>
                <w:bCs w:val="0"/>
                <w:color w:val="000000"/>
                <w:kern w:val="0"/>
                <w:sz w:val="21"/>
                <w:szCs w:val="21"/>
                <w:vertAlign w:val="baseline"/>
                <w:lang w:val="en-US" w:eastAsia="zh-CN"/>
              </w:rPr>
            </w:pPr>
            <w:r>
              <w:rPr>
                <w:rFonts w:hint="eastAsia" w:ascii="方正黑体_GBK" w:hAnsi="方正黑体_GBK" w:eastAsia="方正黑体_GBK" w:cs="方正黑体_GBK"/>
                <w:b w:val="0"/>
                <w:bCs w:val="0"/>
                <w:color w:val="000000"/>
                <w:kern w:val="0"/>
                <w:sz w:val="21"/>
                <w:szCs w:val="21"/>
                <w:vertAlign w:val="baseline"/>
                <w:lang w:val="en-US" w:eastAsia="zh-CN"/>
              </w:rPr>
              <w:t>比选指标</w:t>
            </w:r>
          </w:p>
        </w:tc>
        <w:tc>
          <w:tcPr>
            <w:tcW w:w="4055" w:type="dxa"/>
          </w:tcPr>
          <w:p>
            <w:pPr>
              <w:keepNext w:val="0"/>
              <w:keepLines w:val="0"/>
              <w:pageBreakBefore w:val="0"/>
              <w:widowControl w:val="0"/>
              <w:kinsoku/>
              <w:wordWrap w:val="0"/>
              <w:overflowPunct/>
              <w:topLinePunct/>
              <w:autoSpaceDE/>
              <w:autoSpaceDN/>
              <w:bidi w:val="0"/>
              <w:adjustRightInd/>
              <w:snapToGrid/>
              <w:spacing w:line="240" w:lineRule="atLeast"/>
              <w:jc w:val="center"/>
              <w:textAlignment w:val="auto"/>
              <w:rPr>
                <w:rFonts w:hint="default" w:ascii="方正黑体_GBK" w:hAnsi="方正黑体_GBK" w:eastAsia="方正黑体_GBK" w:cs="方正黑体_GBK"/>
                <w:b w:val="0"/>
                <w:bCs w:val="0"/>
                <w:color w:val="000000"/>
                <w:kern w:val="0"/>
                <w:sz w:val="21"/>
                <w:szCs w:val="21"/>
                <w:vertAlign w:val="baseline"/>
                <w:lang w:val="en-US" w:eastAsia="zh-CN"/>
              </w:rPr>
            </w:pPr>
            <w:r>
              <w:rPr>
                <w:rFonts w:hint="eastAsia" w:ascii="方正黑体_GBK" w:hAnsi="方正黑体_GBK" w:eastAsia="方正黑体_GBK" w:cs="方正黑体_GBK"/>
                <w:b w:val="0"/>
                <w:bCs w:val="0"/>
                <w:color w:val="000000"/>
                <w:kern w:val="0"/>
                <w:sz w:val="21"/>
                <w:szCs w:val="21"/>
                <w:vertAlign w:val="baseline"/>
                <w:lang w:val="en-US" w:eastAsia="zh-CN"/>
              </w:rPr>
              <w:t>比选内容</w:t>
            </w:r>
          </w:p>
        </w:tc>
        <w:tc>
          <w:tcPr>
            <w:tcW w:w="843" w:type="dxa"/>
          </w:tcPr>
          <w:p>
            <w:pPr>
              <w:keepNext w:val="0"/>
              <w:keepLines w:val="0"/>
              <w:pageBreakBefore w:val="0"/>
              <w:widowControl w:val="0"/>
              <w:kinsoku/>
              <w:wordWrap w:val="0"/>
              <w:overflowPunct/>
              <w:topLinePunct/>
              <w:autoSpaceDE/>
              <w:autoSpaceDN/>
              <w:bidi w:val="0"/>
              <w:adjustRightInd/>
              <w:snapToGrid/>
              <w:spacing w:line="240" w:lineRule="atLeast"/>
              <w:jc w:val="center"/>
              <w:textAlignment w:val="auto"/>
              <w:rPr>
                <w:rFonts w:hint="default" w:ascii="方正黑体_GBK" w:hAnsi="方正黑体_GBK" w:eastAsia="方正黑体_GBK" w:cs="方正黑体_GBK"/>
                <w:b w:val="0"/>
                <w:bCs w:val="0"/>
                <w:color w:val="000000"/>
                <w:kern w:val="0"/>
                <w:sz w:val="21"/>
                <w:szCs w:val="21"/>
                <w:vertAlign w:val="baseline"/>
                <w:lang w:val="en-US" w:eastAsia="zh-CN"/>
              </w:rPr>
            </w:pPr>
            <w:r>
              <w:rPr>
                <w:rFonts w:hint="eastAsia" w:ascii="方正黑体_GBK" w:hAnsi="方正黑体_GBK" w:eastAsia="方正黑体_GBK" w:cs="方正黑体_GBK"/>
                <w:b w:val="0"/>
                <w:bCs w:val="0"/>
                <w:color w:val="000000"/>
                <w:kern w:val="0"/>
                <w:sz w:val="21"/>
                <w:szCs w:val="21"/>
                <w:vertAlign w:val="baseline"/>
                <w:lang w:val="en-US" w:eastAsia="zh-CN"/>
              </w:rPr>
              <w:t>分值</w:t>
            </w:r>
          </w:p>
        </w:tc>
        <w:tc>
          <w:tcPr>
            <w:tcW w:w="748" w:type="dxa"/>
          </w:tcPr>
          <w:p>
            <w:pPr>
              <w:keepNext w:val="0"/>
              <w:keepLines w:val="0"/>
              <w:pageBreakBefore w:val="0"/>
              <w:widowControl w:val="0"/>
              <w:kinsoku/>
              <w:wordWrap w:val="0"/>
              <w:overflowPunct/>
              <w:topLinePunct/>
              <w:autoSpaceDE/>
              <w:autoSpaceDN/>
              <w:bidi w:val="0"/>
              <w:adjustRightInd/>
              <w:snapToGrid/>
              <w:spacing w:line="240" w:lineRule="atLeast"/>
              <w:jc w:val="center"/>
              <w:textAlignment w:val="auto"/>
              <w:rPr>
                <w:rFonts w:hint="default" w:ascii="方正黑体_GBK" w:hAnsi="方正黑体_GBK" w:eastAsia="方正黑体_GBK" w:cs="方正黑体_GBK"/>
                <w:b w:val="0"/>
                <w:bCs w:val="0"/>
                <w:color w:val="000000"/>
                <w:kern w:val="0"/>
                <w:sz w:val="21"/>
                <w:szCs w:val="21"/>
                <w:vertAlign w:val="baseline"/>
                <w:lang w:val="en-US" w:eastAsia="zh-CN"/>
              </w:rPr>
            </w:pPr>
            <w:r>
              <w:rPr>
                <w:rFonts w:hint="eastAsia" w:ascii="方正黑体_GBK" w:hAnsi="方正黑体_GBK" w:eastAsia="方正黑体_GBK" w:cs="方正黑体_GBK"/>
                <w:b w:val="0"/>
                <w:bCs w:val="0"/>
                <w:color w:val="000000"/>
                <w:kern w:val="0"/>
                <w:sz w:val="21"/>
                <w:szCs w:val="21"/>
                <w:vertAlign w:val="baseline"/>
                <w:lang w:val="en-US" w:eastAsia="zh-CN"/>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5" w:type="dxa"/>
            <w:vMerge w:val="restart"/>
          </w:tcPr>
          <w:p>
            <w:pPr>
              <w:keepNext w:val="0"/>
              <w:keepLines w:val="0"/>
              <w:pageBreakBefore w:val="0"/>
              <w:numPr>
                <w:ilvl w:val="-1"/>
                <w:numId w:val="0"/>
              </w:numPr>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p>
          <w:p>
            <w:pPr>
              <w:keepNext w:val="0"/>
              <w:keepLines w:val="0"/>
              <w:pageBreakBefore w:val="0"/>
              <w:numPr>
                <w:ilvl w:val="-1"/>
                <w:numId w:val="0"/>
              </w:numPr>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p>
          <w:p>
            <w:pPr>
              <w:keepNext w:val="0"/>
              <w:keepLines w:val="0"/>
              <w:pageBreakBefore w:val="0"/>
              <w:numPr>
                <w:ilvl w:val="-1"/>
                <w:numId w:val="0"/>
              </w:numPr>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p>
          <w:p>
            <w:pPr>
              <w:keepNext w:val="0"/>
              <w:keepLines w:val="0"/>
              <w:pageBreakBefore w:val="0"/>
              <w:numPr>
                <w:ilvl w:val="-1"/>
                <w:numId w:val="0"/>
              </w:numPr>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p>
          <w:p>
            <w:pPr>
              <w:keepNext w:val="0"/>
              <w:keepLines w:val="0"/>
              <w:pageBreakBefore w:val="0"/>
              <w:numPr>
                <w:ilvl w:val="-1"/>
                <w:numId w:val="0"/>
              </w:numPr>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b w:val="0"/>
                <w:bCs w:val="0"/>
                <w:color w:val="000000"/>
                <w:kern w:val="0"/>
                <w:sz w:val="24"/>
                <w:szCs w:val="24"/>
                <w:vertAlign w:val="baseline"/>
                <w:lang w:val="en-US" w:eastAsia="zh-CN"/>
              </w:rPr>
              <w:t>公司综合实力</w:t>
            </w:r>
          </w:p>
          <w:p>
            <w:pPr>
              <w:keepNext w:val="0"/>
              <w:keepLines w:val="0"/>
              <w:pageBreakBefore w:val="0"/>
              <w:numPr>
                <w:ilvl w:val="0"/>
                <w:numId w:val="0"/>
              </w:numPr>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b w:val="0"/>
                <w:bCs w:val="0"/>
                <w:color w:val="000000"/>
                <w:kern w:val="0"/>
                <w:sz w:val="24"/>
                <w:szCs w:val="24"/>
                <w:vertAlign w:val="baseline"/>
                <w:lang w:val="en-US" w:eastAsia="zh-CN"/>
              </w:rPr>
              <w:t>（20分）</w:t>
            </w:r>
          </w:p>
        </w:tc>
        <w:tc>
          <w:tcPr>
            <w:tcW w:w="1876"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b w:val="0"/>
                <w:bCs w:val="0"/>
                <w:color w:val="000000"/>
                <w:kern w:val="0"/>
                <w:sz w:val="24"/>
                <w:szCs w:val="24"/>
                <w:vertAlign w:val="baseline"/>
                <w:lang w:val="en-US" w:eastAsia="zh-CN"/>
              </w:rPr>
              <w:t>企业性质</w:t>
            </w:r>
          </w:p>
        </w:tc>
        <w:tc>
          <w:tcPr>
            <w:tcW w:w="4055" w:type="dxa"/>
          </w:tcPr>
          <w:p>
            <w:pPr>
              <w:pStyle w:val="3"/>
              <w:keepNext w:val="0"/>
              <w:keepLines w:val="0"/>
              <w:pageBreakBefore w:val="0"/>
              <w:widowControl w:val="0"/>
              <w:kinsoku/>
              <w:wordWrap w:val="0"/>
              <w:overflowPunct/>
              <w:topLinePunct/>
              <w:autoSpaceDE/>
              <w:autoSpaceDN/>
              <w:bidi w:val="0"/>
              <w:adjustRightInd/>
              <w:snapToGrid/>
              <w:spacing w:after="0" w:line="30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5分-中央企业</w:t>
            </w:r>
          </w:p>
          <w:p>
            <w:pPr>
              <w:pStyle w:val="3"/>
              <w:keepNext w:val="0"/>
              <w:keepLines w:val="0"/>
              <w:pageBreakBefore w:val="0"/>
              <w:widowControl w:val="0"/>
              <w:kinsoku/>
              <w:wordWrap w:val="0"/>
              <w:overflowPunct/>
              <w:topLinePunct/>
              <w:autoSpaceDE/>
              <w:autoSpaceDN/>
              <w:bidi w:val="0"/>
              <w:adjustRightInd/>
              <w:snapToGrid/>
              <w:spacing w:after="0" w:line="30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3分-国有企业</w:t>
            </w:r>
          </w:p>
          <w:p>
            <w:pPr>
              <w:keepNext w:val="0"/>
              <w:keepLines w:val="0"/>
              <w:pageBreakBefore w:val="0"/>
              <w:widowControl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sz w:val="24"/>
                <w:szCs w:val="24"/>
              </w:rPr>
              <w:t>1分-其他</w:t>
            </w:r>
          </w:p>
        </w:tc>
        <w:tc>
          <w:tcPr>
            <w:tcW w:w="843" w:type="dxa"/>
          </w:tcPr>
          <w:p>
            <w:pPr>
              <w:keepNext w:val="0"/>
              <w:keepLines w:val="0"/>
              <w:pageBreakBefore w:val="0"/>
              <w:kinsoku/>
              <w:wordWrap w:val="0"/>
              <w:overflowPunct/>
              <w:topLinePunct/>
              <w:autoSpaceDE/>
              <w:autoSpaceDN/>
              <w:bidi w:val="0"/>
              <w:adjustRightInd/>
              <w:snapToGrid/>
              <w:spacing w:line="300" w:lineRule="exact"/>
              <w:jc w:val="center"/>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b w:val="0"/>
                <w:bCs w:val="0"/>
                <w:color w:val="000000"/>
                <w:kern w:val="0"/>
                <w:sz w:val="24"/>
                <w:szCs w:val="24"/>
                <w:vertAlign w:val="baseline"/>
                <w:lang w:val="en-US" w:eastAsia="zh-CN"/>
              </w:rPr>
              <w:t>5分</w:t>
            </w:r>
          </w:p>
        </w:tc>
        <w:tc>
          <w:tcPr>
            <w:tcW w:w="748"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135" w:type="dxa"/>
            <w:vMerge w:val="continue"/>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4"/>
                <w:szCs w:val="24"/>
                <w:u w:val="none"/>
                <w:lang w:val="en-US" w:eastAsia="zh-CN"/>
              </w:rPr>
            </w:pPr>
          </w:p>
        </w:tc>
        <w:tc>
          <w:tcPr>
            <w:tcW w:w="1876"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b w:val="0"/>
                <w:bCs w:val="0"/>
                <w:color w:val="000000"/>
                <w:kern w:val="0"/>
                <w:sz w:val="24"/>
                <w:szCs w:val="24"/>
                <w:vertAlign w:val="baseline"/>
                <w:lang w:val="en-US" w:eastAsia="zh-CN"/>
              </w:rPr>
              <w:t>相应资格</w:t>
            </w:r>
          </w:p>
        </w:tc>
        <w:tc>
          <w:tcPr>
            <w:tcW w:w="4055"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eastAsia"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rPr>
              <w:t>分-具备三项管理资格</w:t>
            </w:r>
            <w:r>
              <w:rPr>
                <w:rFonts w:hint="default" w:ascii="Times New Roman" w:hAnsi="Times New Roman" w:eastAsia="方正仿宋_GBK" w:cs="Times New Roman"/>
                <w:sz w:val="24"/>
                <w:szCs w:val="24"/>
              </w:rPr>
              <w:br w:type="textWrapping"/>
            </w:r>
            <w:r>
              <w:rPr>
                <w:rFonts w:hint="eastAsia" w:ascii="Times New Roman" w:hAnsi="Times New Roman" w:eastAsia="方正仿宋_GBK" w:cs="Times New Roman"/>
                <w:sz w:val="24"/>
                <w:szCs w:val="24"/>
                <w:lang w:val="en-US" w:eastAsia="zh-CN"/>
              </w:rPr>
              <w:t>3</w:t>
            </w:r>
            <w:r>
              <w:rPr>
                <w:rFonts w:hint="default" w:ascii="Times New Roman" w:hAnsi="Times New Roman" w:eastAsia="方正仿宋_GBK" w:cs="Times New Roman"/>
                <w:sz w:val="24"/>
                <w:szCs w:val="24"/>
              </w:rPr>
              <w:t>分-具备两项管理资格</w:t>
            </w:r>
            <w:r>
              <w:rPr>
                <w:rFonts w:hint="default" w:ascii="Times New Roman" w:hAnsi="Times New Roman" w:eastAsia="方正仿宋_GBK" w:cs="Times New Roman"/>
                <w:sz w:val="24"/>
                <w:szCs w:val="24"/>
              </w:rPr>
              <w:br w:type="textWrapping"/>
            </w:r>
            <w:r>
              <w:rPr>
                <w:rFonts w:hint="eastAsia"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rPr>
              <w:t>分-具备一项管理资格</w:t>
            </w:r>
          </w:p>
        </w:tc>
        <w:tc>
          <w:tcPr>
            <w:tcW w:w="843" w:type="dxa"/>
          </w:tcPr>
          <w:p>
            <w:pPr>
              <w:keepNext w:val="0"/>
              <w:keepLines w:val="0"/>
              <w:pageBreakBefore w:val="0"/>
              <w:kinsoku/>
              <w:wordWrap w:val="0"/>
              <w:overflowPunct/>
              <w:topLinePunct/>
              <w:autoSpaceDE/>
              <w:autoSpaceDN/>
              <w:bidi w:val="0"/>
              <w:adjustRightInd/>
              <w:snapToGrid/>
              <w:spacing w:line="300" w:lineRule="exact"/>
              <w:jc w:val="center"/>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eastAsia" w:ascii="Times New Roman" w:hAnsi="Times New Roman" w:eastAsia="方正仿宋_GBK" w:cs="Times New Roman"/>
                <w:b w:val="0"/>
                <w:bCs w:val="0"/>
                <w:color w:val="000000"/>
                <w:kern w:val="0"/>
                <w:sz w:val="24"/>
                <w:szCs w:val="24"/>
                <w:vertAlign w:val="baseline"/>
                <w:lang w:val="en-US" w:eastAsia="zh-CN"/>
              </w:rPr>
              <w:t>5</w:t>
            </w:r>
            <w:r>
              <w:rPr>
                <w:rFonts w:hint="default" w:ascii="Times New Roman" w:hAnsi="Times New Roman" w:eastAsia="方正仿宋_GBK" w:cs="Times New Roman"/>
                <w:b w:val="0"/>
                <w:bCs w:val="0"/>
                <w:color w:val="000000"/>
                <w:kern w:val="0"/>
                <w:sz w:val="24"/>
                <w:szCs w:val="24"/>
                <w:vertAlign w:val="baseline"/>
                <w:lang w:val="en-US" w:eastAsia="zh-CN"/>
              </w:rPr>
              <w:t>分</w:t>
            </w:r>
          </w:p>
        </w:tc>
        <w:tc>
          <w:tcPr>
            <w:tcW w:w="748"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35" w:type="dxa"/>
            <w:vMerge w:val="continue"/>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4"/>
                <w:szCs w:val="24"/>
                <w:u w:val="none"/>
                <w:lang w:val="en-US" w:eastAsia="zh-CN"/>
              </w:rPr>
            </w:pPr>
          </w:p>
        </w:tc>
        <w:tc>
          <w:tcPr>
            <w:tcW w:w="1876"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b w:val="0"/>
                <w:bCs w:val="0"/>
                <w:color w:val="000000"/>
                <w:kern w:val="0"/>
                <w:sz w:val="24"/>
                <w:szCs w:val="24"/>
                <w:vertAlign w:val="baseline"/>
                <w:lang w:val="en-US" w:eastAsia="zh-CN"/>
              </w:rPr>
              <w:t>品牌实力</w:t>
            </w:r>
          </w:p>
        </w:tc>
        <w:tc>
          <w:tcPr>
            <w:tcW w:w="4055"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b w:val="0"/>
                <w:bCs w:val="0"/>
                <w:color w:val="000000"/>
                <w:kern w:val="0"/>
                <w:sz w:val="24"/>
                <w:szCs w:val="24"/>
                <w:vertAlign w:val="baseline"/>
                <w:lang w:val="en-US" w:eastAsia="zh-CN"/>
              </w:rPr>
              <w:t>股东实力、行业地位、品牌知名度等。</w:t>
            </w:r>
          </w:p>
        </w:tc>
        <w:tc>
          <w:tcPr>
            <w:tcW w:w="843" w:type="dxa"/>
          </w:tcPr>
          <w:p>
            <w:pPr>
              <w:keepNext w:val="0"/>
              <w:keepLines w:val="0"/>
              <w:pageBreakBefore w:val="0"/>
              <w:kinsoku/>
              <w:wordWrap w:val="0"/>
              <w:overflowPunct/>
              <w:topLinePunct/>
              <w:autoSpaceDE/>
              <w:autoSpaceDN/>
              <w:bidi w:val="0"/>
              <w:adjustRightInd/>
              <w:snapToGrid/>
              <w:spacing w:line="300" w:lineRule="exact"/>
              <w:jc w:val="center"/>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eastAsia" w:ascii="Times New Roman" w:hAnsi="Times New Roman" w:eastAsia="方正仿宋_GBK" w:cs="Times New Roman"/>
                <w:b w:val="0"/>
                <w:bCs w:val="0"/>
                <w:color w:val="000000"/>
                <w:kern w:val="0"/>
                <w:sz w:val="24"/>
                <w:szCs w:val="24"/>
                <w:vertAlign w:val="baseline"/>
                <w:lang w:val="en-US" w:eastAsia="zh-CN"/>
              </w:rPr>
              <w:t>4</w:t>
            </w:r>
            <w:r>
              <w:rPr>
                <w:rFonts w:hint="default" w:ascii="Times New Roman" w:hAnsi="Times New Roman" w:eastAsia="方正仿宋_GBK" w:cs="Times New Roman"/>
                <w:b w:val="0"/>
                <w:bCs w:val="0"/>
                <w:color w:val="000000"/>
                <w:kern w:val="0"/>
                <w:sz w:val="24"/>
                <w:szCs w:val="24"/>
                <w:vertAlign w:val="baseline"/>
                <w:lang w:val="en-US" w:eastAsia="zh-CN"/>
              </w:rPr>
              <w:t>分</w:t>
            </w:r>
          </w:p>
        </w:tc>
        <w:tc>
          <w:tcPr>
            <w:tcW w:w="748"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135" w:type="dxa"/>
            <w:vMerge w:val="continue"/>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4"/>
                <w:szCs w:val="24"/>
                <w:u w:val="none"/>
                <w:lang w:val="en-US" w:eastAsia="zh-CN"/>
              </w:rPr>
            </w:pPr>
          </w:p>
        </w:tc>
        <w:tc>
          <w:tcPr>
            <w:tcW w:w="1876"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b w:val="0"/>
                <w:bCs w:val="0"/>
                <w:color w:val="000000"/>
                <w:kern w:val="0"/>
                <w:sz w:val="24"/>
                <w:szCs w:val="24"/>
                <w:vertAlign w:val="baseline"/>
                <w:lang w:val="en-US" w:eastAsia="zh-CN"/>
              </w:rPr>
              <w:t>企业战略定位</w:t>
            </w:r>
          </w:p>
        </w:tc>
        <w:tc>
          <w:tcPr>
            <w:tcW w:w="4055"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b w:val="0"/>
                <w:bCs w:val="0"/>
                <w:color w:val="000000"/>
                <w:kern w:val="0"/>
                <w:sz w:val="24"/>
                <w:szCs w:val="24"/>
                <w:vertAlign w:val="baseline"/>
                <w:lang w:val="en-US" w:eastAsia="zh-CN"/>
              </w:rPr>
              <w:t>根据参选机构对年金业务的重视程度、年金业务在公司整体业务收入中的占比、公司专业化经营管理程度等情况进行综合评分。</w:t>
            </w:r>
          </w:p>
        </w:tc>
        <w:tc>
          <w:tcPr>
            <w:tcW w:w="843" w:type="dxa"/>
          </w:tcPr>
          <w:p>
            <w:pPr>
              <w:keepNext w:val="0"/>
              <w:keepLines w:val="0"/>
              <w:pageBreakBefore w:val="0"/>
              <w:kinsoku/>
              <w:wordWrap w:val="0"/>
              <w:overflowPunct/>
              <w:topLinePunct/>
              <w:autoSpaceDE/>
              <w:autoSpaceDN/>
              <w:bidi w:val="0"/>
              <w:adjustRightInd/>
              <w:snapToGrid/>
              <w:spacing w:line="300" w:lineRule="exact"/>
              <w:jc w:val="center"/>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b w:val="0"/>
                <w:bCs w:val="0"/>
                <w:color w:val="000000"/>
                <w:kern w:val="0"/>
                <w:sz w:val="24"/>
                <w:szCs w:val="24"/>
                <w:vertAlign w:val="baseline"/>
                <w:lang w:val="en-US" w:eastAsia="zh-CN"/>
              </w:rPr>
              <w:t>3分</w:t>
            </w:r>
          </w:p>
        </w:tc>
        <w:tc>
          <w:tcPr>
            <w:tcW w:w="748"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135" w:type="dxa"/>
            <w:vMerge w:val="continue"/>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4"/>
                <w:szCs w:val="24"/>
                <w:u w:val="none"/>
                <w:lang w:val="en-US" w:eastAsia="zh-CN"/>
              </w:rPr>
            </w:pPr>
          </w:p>
        </w:tc>
        <w:tc>
          <w:tcPr>
            <w:tcW w:w="1876"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b w:val="0"/>
                <w:bCs w:val="0"/>
                <w:color w:val="000000"/>
                <w:kern w:val="0"/>
                <w:sz w:val="24"/>
                <w:szCs w:val="24"/>
                <w:vertAlign w:val="baseline"/>
                <w:lang w:val="en-US" w:eastAsia="zh-CN"/>
              </w:rPr>
              <w:t>近三年受到的监管机构处罚情况</w:t>
            </w:r>
          </w:p>
        </w:tc>
        <w:tc>
          <w:tcPr>
            <w:tcW w:w="4055"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b w:val="0"/>
                <w:bCs w:val="0"/>
                <w:color w:val="000000"/>
                <w:kern w:val="0"/>
                <w:sz w:val="24"/>
                <w:szCs w:val="24"/>
                <w:vertAlign w:val="baseline"/>
                <w:lang w:val="en-US" w:eastAsia="zh-CN"/>
              </w:rPr>
              <w:t>参选机构近3年来年金业务未受到过监管机构处罚得3分，受到处罚得0分</w:t>
            </w:r>
          </w:p>
        </w:tc>
        <w:tc>
          <w:tcPr>
            <w:tcW w:w="843" w:type="dxa"/>
          </w:tcPr>
          <w:p>
            <w:pPr>
              <w:keepNext w:val="0"/>
              <w:keepLines w:val="0"/>
              <w:pageBreakBefore w:val="0"/>
              <w:kinsoku/>
              <w:wordWrap w:val="0"/>
              <w:overflowPunct/>
              <w:topLinePunct/>
              <w:autoSpaceDE/>
              <w:autoSpaceDN/>
              <w:bidi w:val="0"/>
              <w:adjustRightInd/>
              <w:snapToGrid/>
              <w:spacing w:line="300" w:lineRule="exact"/>
              <w:jc w:val="center"/>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b w:val="0"/>
                <w:bCs w:val="0"/>
                <w:color w:val="000000"/>
                <w:kern w:val="0"/>
                <w:sz w:val="24"/>
                <w:szCs w:val="24"/>
                <w:vertAlign w:val="baseline"/>
                <w:lang w:val="en-US" w:eastAsia="zh-CN"/>
              </w:rPr>
              <w:t>3分</w:t>
            </w:r>
          </w:p>
        </w:tc>
        <w:tc>
          <w:tcPr>
            <w:tcW w:w="748"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135" w:type="dxa"/>
            <w:vMerge w:val="restart"/>
          </w:tcPr>
          <w:p>
            <w:pPr>
              <w:keepNext w:val="0"/>
              <w:keepLines w:val="0"/>
              <w:pageBreakBefore w:val="0"/>
              <w:widowControl/>
              <w:numPr>
                <w:ilvl w:val="-1"/>
                <w:numId w:val="0"/>
              </w:numPr>
              <w:shd w:val="clear" w:color="auto" w:fill="FFFFFF"/>
              <w:kinsoku/>
              <w:wordWrap w:val="0"/>
              <w:overflowPunct/>
              <w:topLinePunct/>
              <w:autoSpaceDE/>
              <w:autoSpaceDN/>
              <w:bidi w:val="0"/>
              <w:adjustRightInd/>
              <w:snapToGrid/>
              <w:spacing w:beforeAutospacing="0" w:afterAutospacing="0" w:line="300" w:lineRule="exact"/>
              <w:ind w:left="0" w:leftChars="0" w:firstLine="0" w:firstLineChars="0"/>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p>
          <w:p>
            <w:pPr>
              <w:keepNext w:val="0"/>
              <w:keepLines w:val="0"/>
              <w:pageBreakBefore w:val="0"/>
              <w:widowControl/>
              <w:numPr>
                <w:ilvl w:val="-1"/>
                <w:numId w:val="0"/>
              </w:numPr>
              <w:shd w:val="clear" w:color="auto" w:fill="FFFFFF"/>
              <w:kinsoku/>
              <w:wordWrap w:val="0"/>
              <w:overflowPunct/>
              <w:topLinePunct/>
              <w:autoSpaceDE/>
              <w:autoSpaceDN/>
              <w:bidi w:val="0"/>
              <w:adjustRightInd/>
              <w:snapToGrid/>
              <w:spacing w:beforeAutospacing="0" w:afterAutospacing="0" w:line="300" w:lineRule="exact"/>
              <w:ind w:left="0" w:leftChars="0" w:firstLine="0" w:firstLineChars="0"/>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p>
          <w:p>
            <w:pPr>
              <w:keepNext w:val="0"/>
              <w:keepLines w:val="0"/>
              <w:pageBreakBefore w:val="0"/>
              <w:widowControl/>
              <w:numPr>
                <w:ilvl w:val="-1"/>
                <w:numId w:val="0"/>
              </w:numPr>
              <w:shd w:val="clear" w:color="auto" w:fill="FFFFFF"/>
              <w:kinsoku/>
              <w:wordWrap w:val="0"/>
              <w:overflowPunct/>
              <w:topLinePunct/>
              <w:autoSpaceDE/>
              <w:autoSpaceDN/>
              <w:bidi w:val="0"/>
              <w:adjustRightInd/>
              <w:snapToGrid/>
              <w:spacing w:beforeAutospacing="0" w:afterAutospacing="0" w:line="300" w:lineRule="exact"/>
              <w:ind w:left="0" w:leftChars="0" w:firstLine="0" w:firstLineChars="0"/>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p>
          <w:p>
            <w:pPr>
              <w:keepNext w:val="0"/>
              <w:keepLines w:val="0"/>
              <w:pageBreakBefore w:val="0"/>
              <w:widowControl/>
              <w:numPr>
                <w:ilvl w:val="-1"/>
                <w:numId w:val="0"/>
              </w:numPr>
              <w:shd w:val="clear" w:color="auto" w:fill="FFFFFF"/>
              <w:kinsoku/>
              <w:wordWrap w:val="0"/>
              <w:overflowPunct/>
              <w:topLinePunct/>
              <w:autoSpaceDE/>
              <w:autoSpaceDN/>
              <w:bidi w:val="0"/>
              <w:adjustRightInd/>
              <w:snapToGrid/>
              <w:spacing w:beforeAutospacing="0" w:afterAutospacing="0" w:line="300" w:lineRule="exact"/>
              <w:ind w:left="0" w:leftChars="0" w:firstLine="0" w:firstLineChars="0"/>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p>
          <w:p>
            <w:pPr>
              <w:keepNext w:val="0"/>
              <w:keepLines w:val="0"/>
              <w:pageBreakBefore w:val="0"/>
              <w:widowControl/>
              <w:numPr>
                <w:ilvl w:val="-1"/>
                <w:numId w:val="0"/>
              </w:numPr>
              <w:shd w:val="clear" w:color="auto" w:fill="FFFFFF"/>
              <w:kinsoku/>
              <w:wordWrap w:val="0"/>
              <w:overflowPunct/>
              <w:topLinePunct/>
              <w:autoSpaceDE/>
              <w:autoSpaceDN/>
              <w:bidi w:val="0"/>
              <w:adjustRightInd/>
              <w:snapToGrid/>
              <w:spacing w:beforeAutospacing="0" w:afterAutospacing="0" w:line="300" w:lineRule="exact"/>
              <w:ind w:left="0" w:leftChars="0" w:firstLine="0" w:firstLineChars="0"/>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p>
          <w:p>
            <w:pPr>
              <w:keepNext w:val="0"/>
              <w:keepLines w:val="0"/>
              <w:pageBreakBefore w:val="0"/>
              <w:widowControl/>
              <w:numPr>
                <w:ilvl w:val="-1"/>
                <w:numId w:val="0"/>
              </w:numPr>
              <w:shd w:val="clear" w:color="auto" w:fill="FFFFFF"/>
              <w:kinsoku/>
              <w:wordWrap w:val="0"/>
              <w:overflowPunct/>
              <w:topLinePunct/>
              <w:autoSpaceDE/>
              <w:autoSpaceDN/>
              <w:bidi w:val="0"/>
              <w:adjustRightInd/>
              <w:snapToGrid/>
              <w:spacing w:beforeAutospacing="0" w:afterAutospacing="0" w:line="300" w:lineRule="exact"/>
              <w:ind w:left="0" w:leftChars="0" w:firstLine="0" w:firstLineChars="0"/>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p>
          <w:p>
            <w:pPr>
              <w:keepNext w:val="0"/>
              <w:keepLines w:val="0"/>
              <w:pageBreakBefore w:val="0"/>
              <w:widowControl/>
              <w:numPr>
                <w:ilvl w:val="-1"/>
                <w:numId w:val="0"/>
              </w:numPr>
              <w:shd w:val="clear" w:color="auto" w:fill="FFFFFF"/>
              <w:kinsoku/>
              <w:wordWrap w:val="0"/>
              <w:overflowPunct/>
              <w:topLinePunct/>
              <w:autoSpaceDE/>
              <w:autoSpaceDN/>
              <w:bidi w:val="0"/>
              <w:adjustRightInd/>
              <w:snapToGrid/>
              <w:spacing w:beforeAutospacing="0" w:afterAutospacing="0" w:line="300" w:lineRule="exact"/>
              <w:ind w:left="0" w:leftChars="0" w:firstLine="0" w:firstLineChars="0"/>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p>
          <w:p>
            <w:pPr>
              <w:keepNext w:val="0"/>
              <w:keepLines w:val="0"/>
              <w:pageBreakBefore w:val="0"/>
              <w:widowControl/>
              <w:numPr>
                <w:ilvl w:val="-1"/>
                <w:numId w:val="0"/>
              </w:numPr>
              <w:shd w:val="clear" w:color="auto" w:fill="FFFFFF"/>
              <w:kinsoku/>
              <w:wordWrap w:val="0"/>
              <w:overflowPunct/>
              <w:topLinePunct/>
              <w:autoSpaceDE/>
              <w:autoSpaceDN/>
              <w:bidi w:val="0"/>
              <w:adjustRightInd/>
              <w:snapToGrid/>
              <w:spacing w:beforeAutospacing="0" w:afterAutospacing="0" w:line="300" w:lineRule="exact"/>
              <w:ind w:left="0" w:leftChars="0" w:firstLine="0" w:firstLineChars="0"/>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p>
          <w:p>
            <w:pPr>
              <w:keepNext w:val="0"/>
              <w:keepLines w:val="0"/>
              <w:pageBreakBefore w:val="0"/>
              <w:widowControl/>
              <w:numPr>
                <w:ilvl w:val="-1"/>
                <w:numId w:val="0"/>
              </w:numPr>
              <w:shd w:val="clear" w:color="auto" w:fill="FFFFFF"/>
              <w:kinsoku/>
              <w:wordWrap w:val="0"/>
              <w:overflowPunct/>
              <w:topLinePunct/>
              <w:autoSpaceDE/>
              <w:autoSpaceDN/>
              <w:bidi w:val="0"/>
              <w:adjustRightInd/>
              <w:snapToGrid/>
              <w:spacing w:beforeAutospacing="0" w:afterAutospacing="0" w:line="300" w:lineRule="exact"/>
              <w:ind w:left="0" w:leftChars="0" w:firstLine="0" w:firstLineChars="0"/>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p>
          <w:p>
            <w:pPr>
              <w:keepNext w:val="0"/>
              <w:keepLines w:val="0"/>
              <w:pageBreakBefore w:val="0"/>
              <w:widowControl/>
              <w:numPr>
                <w:ilvl w:val="-1"/>
                <w:numId w:val="0"/>
              </w:numPr>
              <w:shd w:val="clear" w:color="auto" w:fill="FFFFFF"/>
              <w:kinsoku/>
              <w:wordWrap w:val="0"/>
              <w:overflowPunct/>
              <w:topLinePunct/>
              <w:autoSpaceDE/>
              <w:autoSpaceDN/>
              <w:bidi w:val="0"/>
              <w:adjustRightInd/>
              <w:snapToGrid/>
              <w:spacing w:beforeAutospacing="0" w:afterAutospacing="0" w:line="300" w:lineRule="exact"/>
              <w:ind w:left="0" w:leftChars="0" w:firstLine="0" w:firstLineChars="0"/>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p>
          <w:p>
            <w:pPr>
              <w:keepNext w:val="0"/>
              <w:keepLines w:val="0"/>
              <w:pageBreakBefore w:val="0"/>
              <w:widowControl/>
              <w:numPr>
                <w:ilvl w:val="-1"/>
                <w:numId w:val="0"/>
              </w:numPr>
              <w:shd w:val="clear" w:color="auto" w:fill="FFFFFF"/>
              <w:kinsoku/>
              <w:wordWrap w:val="0"/>
              <w:overflowPunct/>
              <w:topLinePunct/>
              <w:autoSpaceDE/>
              <w:autoSpaceDN/>
              <w:bidi w:val="0"/>
              <w:adjustRightInd/>
              <w:snapToGrid/>
              <w:spacing w:beforeAutospacing="0" w:afterAutospacing="0" w:line="300" w:lineRule="exact"/>
              <w:ind w:left="0" w:leftChars="0" w:firstLine="0" w:firstLineChars="0"/>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b w:val="0"/>
                <w:bCs w:val="0"/>
                <w:color w:val="000000"/>
                <w:kern w:val="0"/>
                <w:sz w:val="24"/>
                <w:szCs w:val="24"/>
                <w:vertAlign w:val="baseline"/>
                <w:lang w:val="en-US" w:eastAsia="zh-CN"/>
              </w:rPr>
              <w:t>受托管理能力</w:t>
            </w:r>
          </w:p>
          <w:p>
            <w:pPr>
              <w:keepNext w:val="0"/>
              <w:keepLines w:val="0"/>
              <w:pageBreakBefore w:val="0"/>
              <w:widowControl/>
              <w:numPr>
                <w:ilvl w:val="0"/>
                <w:numId w:val="0"/>
              </w:numPr>
              <w:shd w:val="clear" w:color="auto" w:fill="FFFFFF"/>
              <w:kinsoku/>
              <w:wordWrap w:val="0"/>
              <w:overflowPunct/>
              <w:topLinePunct/>
              <w:autoSpaceDE/>
              <w:autoSpaceDN/>
              <w:bidi w:val="0"/>
              <w:adjustRightInd/>
              <w:snapToGrid/>
              <w:spacing w:beforeAutospacing="0" w:afterAutospacing="0" w:line="300" w:lineRule="exact"/>
              <w:ind w:leftChars="0"/>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b w:val="0"/>
                <w:bCs w:val="0"/>
                <w:color w:val="000000"/>
                <w:kern w:val="0"/>
                <w:sz w:val="24"/>
                <w:szCs w:val="24"/>
                <w:vertAlign w:val="baseline"/>
                <w:lang w:val="en-US" w:eastAsia="zh-CN"/>
              </w:rPr>
              <w:t>（20分）</w:t>
            </w:r>
          </w:p>
        </w:tc>
        <w:tc>
          <w:tcPr>
            <w:tcW w:w="1876"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b w:val="0"/>
                <w:bCs w:val="0"/>
                <w:color w:val="000000"/>
                <w:kern w:val="0"/>
                <w:sz w:val="24"/>
                <w:szCs w:val="24"/>
                <w:vertAlign w:val="baseline"/>
                <w:lang w:val="en-US" w:eastAsia="zh-CN"/>
              </w:rPr>
              <w:t>截</w:t>
            </w:r>
            <w:r>
              <w:rPr>
                <w:rFonts w:hint="eastAsia" w:ascii="Times New Roman" w:hAnsi="Times New Roman" w:eastAsia="方正仿宋_GBK" w:cs="Times New Roman"/>
                <w:b w:val="0"/>
                <w:bCs w:val="0"/>
                <w:color w:val="000000"/>
                <w:kern w:val="0"/>
                <w:sz w:val="24"/>
                <w:szCs w:val="24"/>
                <w:vertAlign w:val="baseline"/>
                <w:lang w:val="en-US" w:eastAsia="zh-CN"/>
              </w:rPr>
              <w:t>至</w:t>
            </w:r>
            <w:r>
              <w:rPr>
                <w:rFonts w:hint="default" w:ascii="Times New Roman" w:hAnsi="Times New Roman" w:eastAsia="方正仿宋_GBK" w:cs="Times New Roman"/>
                <w:b w:val="0"/>
                <w:bCs w:val="0"/>
                <w:color w:val="000000"/>
                <w:kern w:val="0"/>
                <w:sz w:val="24"/>
                <w:szCs w:val="24"/>
                <w:vertAlign w:val="baseline"/>
                <w:lang w:val="en-US" w:eastAsia="zh-CN"/>
              </w:rPr>
              <w:t>2022年第三季度末企业年金受托管理资产规模</w:t>
            </w:r>
          </w:p>
        </w:tc>
        <w:tc>
          <w:tcPr>
            <w:tcW w:w="4055"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b w:val="0"/>
                <w:bCs w:val="0"/>
                <w:color w:val="000000"/>
                <w:kern w:val="0"/>
                <w:sz w:val="24"/>
                <w:szCs w:val="24"/>
                <w:vertAlign w:val="baseline"/>
                <w:lang w:val="en-US" w:eastAsia="zh-CN"/>
              </w:rPr>
              <w:t>在参选机构中排名第一的，得5分；排名第二的，得4分；以此类推</w:t>
            </w:r>
            <w:r>
              <w:rPr>
                <w:rFonts w:hint="eastAsia" w:ascii="Times New Roman" w:hAnsi="Times New Roman" w:eastAsia="方正仿宋_GBK" w:cs="Times New Roman"/>
                <w:b w:val="0"/>
                <w:bCs w:val="0"/>
                <w:color w:val="000000"/>
                <w:kern w:val="0"/>
                <w:sz w:val="24"/>
                <w:szCs w:val="24"/>
                <w:vertAlign w:val="baseline"/>
                <w:lang w:val="en-US" w:eastAsia="zh-CN"/>
              </w:rPr>
              <w:t>，排名第四的不再得分。</w:t>
            </w:r>
          </w:p>
        </w:tc>
        <w:tc>
          <w:tcPr>
            <w:tcW w:w="843" w:type="dxa"/>
          </w:tcPr>
          <w:p>
            <w:pPr>
              <w:keepNext w:val="0"/>
              <w:keepLines w:val="0"/>
              <w:pageBreakBefore w:val="0"/>
              <w:kinsoku/>
              <w:wordWrap w:val="0"/>
              <w:overflowPunct/>
              <w:topLinePunct/>
              <w:autoSpaceDE/>
              <w:autoSpaceDN/>
              <w:bidi w:val="0"/>
              <w:adjustRightInd/>
              <w:snapToGrid/>
              <w:spacing w:line="300" w:lineRule="exact"/>
              <w:jc w:val="center"/>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b w:val="0"/>
                <w:bCs w:val="0"/>
                <w:color w:val="000000"/>
                <w:kern w:val="0"/>
                <w:sz w:val="24"/>
                <w:szCs w:val="24"/>
                <w:vertAlign w:val="baseline"/>
                <w:lang w:val="en-US" w:eastAsia="zh-CN"/>
              </w:rPr>
              <w:t>5分</w:t>
            </w:r>
          </w:p>
        </w:tc>
        <w:tc>
          <w:tcPr>
            <w:tcW w:w="748"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135" w:type="dxa"/>
            <w:vMerge w:val="continue"/>
          </w:tcPr>
          <w:p>
            <w:pPr>
              <w:keepNext w:val="0"/>
              <w:keepLines w:val="0"/>
              <w:pageBreakBefore w:val="0"/>
              <w:widowControl/>
              <w:shd w:val="clear" w:color="auto" w:fill="FFFFFF"/>
              <w:kinsoku/>
              <w:wordWrap w:val="0"/>
              <w:overflowPunct/>
              <w:topLinePunct/>
              <w:autoSpaceDE/>
              <w:autoSpaceDN/>
              <w:bidi w:val="0"/>
              <w:adjustRightInd/>
              <w:snapToGrid/>
              <w:spacing w:beforeAutospacing="0" w:afterAutospacing="0" w:line="300" w:lineRule="exact"/>
              <w:ind w:firstLine="480" w:firstLineChars="200"/>
              <w:jc w:val="left"/>
              <w:textAlignment w:val="auto"/>
              <w:rPr>
                <w:rFonts w:hint="default" w:ascii="Times New Roman" w:hAnsi="Times New Roman" w:eastAsia="方正仿宋_GBK" w:cs="Times New Roman"/>
                <w:color w:val="000000"/>
                <w:kern w:val="0"/>
                <w:sz w:val="24"/>
                <w:szCs w:val="24"/>
                <w:u w:val="none"/>
                <w:lang w:val="en-US" w:eastAsia="zh-CN"/>
              </w:rPr>
            </w:pPr>
          </w:p>
        </w:tc>
        <w:tc>
          <w:tcPr>
            <w:tcW w:w="1876"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b w:val="0"/>
                <w:bCs w:val="0"/>
                <w:color w:val="000000"/>
                <w:kern w:val="0"/>
                <w:sz w:val="24"/>
                <w:szCs w:val="24"/>
                <w:vertAlign w:val="baseline"/>
                <w:lang w:val="en-US" w:eastAsia="zh-CN"/>
              </w:rPr>
              <w:t>截</w:t>
            </w:r>
            <w:r>
              <w:rPr>
                <w:rFonts w:hint="eastAsia" w:ascii="Times New Roman" w:hAnsi="Times New Roman" w:eastAsia="方正仿宋_GBK" w:cs="Times New Roman"/>
                <w:b w:val="0"/>
                <w:bCs w:val="0"/>
                <w:color w:val="000000"/>
                <w:kern w:val="0"/>
                <w:sz w:val="24"/>
                <w:szCs w:val="24"/>
                <w:vertAlign w:val="baseline"/>
                <w:lang w:val="en-US" w:eastAsia="zh-CN"/>
              </w:rPr>
              <w:t>至</w:t>
            </w:r>
            <w:r>
              <w:rPr>
                <w:rFonts w:hint="default" w:ascii="Times New Roman" w:hAnsi="Times New Roman" w:eastAsia="方正仿宋_GBK" w:cs="Times New Roman"/>
                <w:b w:val="0"/>
                <w:bCs w:val="0"/>
                <w:color w:val="000000"/>
                <w:kern w:val="0"/>
                <w:sz w:val="24"/>
                <w:szCs w:val="24"/>
                <w:vertAlign w:val="baseline"/>
                <w:lang w:val="en-US" w:eastAsia="zh-CN"/>
              </w:rPr>
              <w:t>2022年第三季度末企业年金受托管理企业数量</w:t>
            </w:r>
          </w:p>
        </w:tc>
        <w:tc>
          <w:tcPr>
            <w:tcW w:w="4055"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b w:val="0"/>
                <w:bCs w:val="0"/>
                <w:color w:val="000000"/>
                <w:kern w:val="0"/>
                <w:sz w:val="24"/>
                <w:szCs w:val="24"/>
                <w:vertAlign w:val="baseline"/>
                <w:lang w:val="en-US" w:eastAsia="zh-CN"/>
              </w:rPr>
              <w:t>在参选机构中排名第一的，得5分；排名第二的，得4分；以此类推</w:t>
            </w:r>
            <w:r>
              <w:rPr>
                <w:rFonts w:hint="eastAsia" w:ascii="Times New Roman" w:hAnsi="Times New Roman" w:eastAsia="方正仿宋_GBK" w:cs="Times New Roman"/>
                <w:b w:val="0"/>
                <w:bCs w:val="0"/>
                <w:color w:val="000000"/>
                <w:kern w:val="0"/>
                <w:sz w:val="24"/>
                <w:szCs w:val="24"/>
                <w:vertAlign w:val="baseline"/>
                <w:lang w:val="en-US" w:eastAsia="zh-CN"/>
              </w:rPr>
              <w:t>，排名第四的不再得分。</w:t>
            </w:r>
          </w:p>
        </w:tc>
        <w:tc>
          <w:tcPr>
            <w:tcW w:w="843" w:type="dxa"/>
          </w:tcPr>
          <w:p>
            <w:pPr>
              <w:keepNext w:val="0"/>
              <w:keepLines w:val="0"/>
              <w:pageBreakBefore w:val="0"/>
              <w:kinsoku/>
              <w:wordWrap w:val="0"/>
              <w:overflowPunct/>
              <w:topLinePunct/>
              <w:autoSpaceDE/>
              <w:autoSpaceDN/>
              <w:bidi w:val="0"/>
              <w:adjustRightInd/>
              <w:snapToGrid/>
              <w:spacing w:line="300" w:lineRule="exact"/>
              <w:jc w:val="center"/>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b w:val="0"/>
                <w:bCs w:val="0"/>
                <w:color w:val="000000"/>
                <w:kern w:val="0"/>
                <w:sz w:val="24"/>
                <w:szCs w:val="24"/>
                <w:vertAlign w:val="baseline"/>
                <w:lang w:val="en-US" w:eastAsia="zh-CN"/>
              </w:rPr>
              <w:t>5分</w:t>
            </w:r>
          </w:p>
        </w:tc>
        <w:tc>
          <w:tcPr>
            <w:tcW w:w="748"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trPr>
        <w:tc>
          <w:tcPr>
            <w:tcW w:w="1135" w:type="dxa"/>
            <w:vMerge w:val="continue"/>
          </w:tcPr>
          <w:p>
            <w:pPr>
              <w:keepNext w:val="0"/>
              <w:keepLines w:val="0"/>
              <w:pageBreakBefore w:val="0"/>
              <w:widowControl/>
              <w:shd w:val="clear" w:color="auto" w:fill="FFFFFF"/>
              <w:kinsoku/>
              <w:wordWrap w:val="0"/>
              <w:overflowPunct/>
              <w:topLinePunct/>
              <w:autoSpaceDE/>
              <w:autoSpaceDN/>
              <w:bidi w:val="0"/>
              <w:adjustRightInd/>
              <w:snapToGrid/>
              <w:spacing w:beforeAutospacing="0" w:afterAutospacing="0" w:line="300" w:lineRule="exact"/>
              <w:ind w:firstLine="480" w:firstLineChars="200"/>
              <w:jc w:val="left"/>
              <w:textAlignment w:val="auto"/>
              <w:rPr>
                <w:rFonts w:hint="default" w:ascii="Times New Roman" w:hAnsi="Times New Roman" w:eastAsia="方正仿宋_GBK" w:cs="Times New Roman"/>
                <w:color w:val="000000"/>
                <w:kern w:val="0"/>
                <w:sz w:val="24"/>
                <w:szCs w:val="24"/>
                <w:u w:val="none"/>
                <w:lang w:val="en-US" w:eastAsia="zh-CN"/>
              </w:rPr>
            </w:pPr>
          </w:p>
        </w:tc>
        <w:tc>
          <w:tcPr>
            <w:tcW w:w="1876"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b w:val="0"/>
                <w:bCs w:val="0"/>
                <w:color w:val="000000"/>
                <w:kern w:val="0"/>
                <w:sz w:val="24"/>
                <w:szCs w:val="24"/>
                <w:vertAlign w:val="baseline"/>
                <w:lang w:val="en-US" w:eastAsia="zh-CN"/>
              </w:rPr>
              <w:t>截</w:t>
            </w:r>
            <w:r>
              <w:rPr>
                <w:rFonts w:hint="eastAsia" w:ascii="Times New Roman" w:hAnsi="Times New Roman" w:eastAsia="方正仿宋_GBK" w:cs="Times New Roman"/>
                <w:b w:val="0"/>
                <w:bCs w:val="0"/>
                <w:color w:val="000000"/>
                <w:kern w:val="0"/>
                <w:sz w:val="24"/>
                <w:szCs w:val="24"/>
                <w:vertAlign w:val="baseline"/>
                <w:lang w:val="en-US" w:eastAsia="zh-CN"/>
              </w:rPr>
              <w:t>至</w:t>
            </w:r>
            <w:r>
              <w:rPr>
                <w:rFonts w:hint="default" w:ascii="Times New Roman" w:hAnsi="Times New Roman" w:eastAsia="方正仿宋_GBK" w:cs="Times New Roman"/>
                <w:b w:val="0"/>
                <w:bCs w:val="0"/>
                <w:color w:val="000000"/>
                <w:kern w:val="0"/>
                <w:sz w:val="24"/>
                <w:szCs w:val="24"/>
                <w:vertAlign w:val="baseline"/>
                <w:lang w:val="en-US" w:eastAsia="zh-CN"/>
              </w:rPr>
              <w:t>2022年第三季度末企业年金与省属国企</w:t>
            </w:r>
            <w:r>
              <w:rPr>
                <w:rFonts w:hint="eastAsia" w:ascii="Times New Roman" w:hAnsi="Times New Roman" w:eastAsia="方正仿宋_GBK" w:cs="Times New Roman"/>
                <w:b w:val="0"/>
                <w:bCs w:val="0"/>
                <w:color w:val="000000"/>
                <w:kern w:val="0"/>
                <w:sz w:val="24"/>
                <w:szCs w:val="24"/>
                <w:vertAlign w:val="baseline"/>
                <w:lang w:val="en-US" w:eastAsia="zh-CN"/>
              </w:rPr>
              <w:t>或央企</w:t>
            </w:r>
            <w:r>
              <w:rPr>
                <w:rFonts w:hint="default" w:ascii="Times New Roman" w:hAnsi="Times New Roman" w:eastAsia="方正仿宋_GBK" w:cs="Times New Roman"/>
                <w:b w:val="0"/>
                <w:bCs w:val="0"/>
                <w:color w:val="000000"/>
                <w:kern w:val="0"/>
                <w:sz w:val="24"/>
                <w:szCs w:val="24"/>
                <w:vertAlign w:val="baseline"/>
                <w:lang w:val="en-US" w:eastAsia="zh-CN"/>
              </w:rPr>
              <w:t>合作家数</w:t>
            </w:r>
          </w:p>
        </w:tc>
        <w:tc>
          <w:tcPr>
            <w:tcW w:w="4055"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i w:val="0"/>
                <w:iCs w:val="0"/>
                <w:color w:val="000000"/>
                <w:kern w:val="0"/>
                <w:sz w:val="24"/>
                <w:szCs w:val="24"/>
                <w:u w:val="none"/>
                <w:lang w:val="en-US" w:eastAsia="zh-CN" w:bidi="ar"/>
              </w:rPr>
              <w:t>根据2019年至比选当日为四川省省属国有企业、中央企业提供企业年金受托管理服务的合作家数进行评分。每合作一家得0.5分，最高5分，无合作关系的不得分。（以合同签订时间为准，同一家公司重复合作的视为一家；需提供合作协议或合同，并加盖公章。）</w:t>
            </w:r>
          </w:p>
        </w:tc>
        <w:tc>
          <w:tcPr>
            <w:tcW w:w="843" w:type="dxa"/>
          </w:tcPr>
          <w:p>
            <w:pPr>
              <w:keepNext w:val="0"/>
              <w:keepLines w:val="0"/>
              <w:pageBreakBefore w:val="0"/>
              <w:kinsoku/>
              <w:wordWrap w:val="0"/>
              <w:overflowPunct/>
              <w:topLinePunct/>
              <w:autoSpaceDE/>
              <w:autoSpaceDN/>
              <w:bidi w:val="0"/>
              <w:adjustRightInd/>
              <w:snapToGrid/>
              <w:spacing w:line="300" w:lineRule="exact"/>
              <w:jc w:val="center"/>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b w:val="0"/>
                <w:bCs w:val="0"/>
                <w:color w:val="000000"/>
                <w:kern w:val="0"/>
                <w:sz w:val="24"/>
                <w:szCs w:val="24"/>
                <w:vertAlign w:val="baseline"/>
                <w:lang w:val="en-US" w:eastAsia="zh-CN"/>
              </w:rPr>
              <w:t>5分</w:t>
            </w:r>
          </w:p>
        </w:tc>
        <w:tc>
          <w:tcPr>
            <w:tcW w:w="748"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1135" w:type="dxa"/>
            <w:vMerge w:val="continue"/>
          </w:tcPr>
          <w:p>
            <w:pPr>
              <w:keepNext w:val="0"/>
              <w:keepLines w:val="0"/>
              <w:pageBreakBefore w:val="0"/>
              <w:widowControl/>
              <w:shd w:val="clear" w:color="auto" w:fill="FFFFFF"/>
              <w:kinsoku/>
              <w:wordWrap w:val="0"/>
              <w:overflowPunct/>
              <w:topLinePunct/>
              <w:autoSpaceDE/>
              <w:autoSpaceDN/>
              <w:bidi w:val="0"/>
              <w:adjustRightInd/>
              <w:snapToGrid/>
              <w:spacing w:beforeAutospacing="0" w:afterAutospacing="0" w:line="300" w:lineRule="exact"/>
              <w:ind w:firstLine="480" w:firstLineChars="200"/>
              <w:jc w:val="left"/>
              <w:textAlignment w:val="auto"/>
              <w:rPr>
                <w:rFonts w:hint="default" w:ascii="Times New Roman" w:hAnsi="Times New Roman" w:eastAsia="方正仿宋_GBK" w:cs="Times New Roman"/>
                <w:color w:val="000000"/>
                <w:kern w:val="0"/>
                <w:sz w:val="24"/>
                <w:szCs w:val="24"/>
                <w:u w:val="none"/>
                <w:lang w:val="en-US" w:eastAsia="zh-CN"/>
              </w:rPr>
            </w:pPr>
          </w:p>
        </w:tc>
        <w:tc>
          <w:tcPr>
            <w:tcW w:w="1876"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i w:val="0"/>
                <w:iCs w:val="0"/>
                <w:color w:val="000000"/>
                <w:kern w:val="0"/>
                <w:sz w:val="24"/>
                <w:szCs w:val="24"/>
                <w:u w:val="none"/>
                <w:lang w:val="en-US" w:eastAsia="zh-CN" w:bidi="ar"/>
              </w:rPr>
              <w:t>受托管理资产规模增长率</w:t>
            </w:r>
          </w:p>
        </w:tc>
        <w:tc>
          <w:tcPr>
            <w:tcW w:w="4055" w:type="dxa"/>
          </w:tcPr>
          <w:p>
            <w:pPr>
              <w:pStyle w:val="3"/>
              <w:keepNext w:val="0"/>
              <w:keepLines w:val="0"/>
              <w:pageBreakBefore w:val="0"/>
              <w:widowControl w:val="0"/>
              <w:kinsoku/>
              <w:wordWrap w:val="0"/>
              <w:overflowPunct/>
              <w:topLinePunct/>
              <w:autoSpaceDE/>
              <w:autoSpaceDN/>
              <w:bidi w:val="0"/>
              <w:adjustRightInd/>
              <w:snapToGrid w:val="0"/>
              <w:spacing w:after="0"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b w:val="0"/>
                <w:bCs w:val="0"/>
                <w:color w:val="000000"/>
                <w:kern w:val="0"/>
                <w:sz w:val="24"/>
                <w:szCs w:val="24"/>
                <w:vertAlign w:val="baseline"/>
                <w:lang w:val="en-US" w:eastAsia="zh-CN"/>
              </w:rPr>
              <w:t>根据截至2022年三季度末相比2019年末全国范围内企业年金受托管理资产规模的增长率由高到低的排名进行评分。第一名得5分，第二名得4分，依次递减1分。</w:t>
            </w:r>
          </w:p>
        </w:tc>
        <w:tc>
          <w:tcPr>
            <w:tcW w:w="843" w:type="dxa"/>
          </w:tcPr>
          <w:p>
            <w:pPr>
              <w:keepNext w:val="0"/>
              <w:keepLines w:val="0"/>
              <w:pageBreakBefore w:val="0"/>
              <w:kinsoku/>
              <w:wordWrap w:val="0"/>
              <w:overflowPunct/>
              <w:topLinePunct/>
              <w:autoSpaceDE/>
              <w:autoSpaceDN/>
              <w:bidi w:val="0"/>
              <w:adjustRightInd/>
              <w:snapToGrid/>
              <w:spacing w:line="300" w:lineRule="exact"/>
              <w:jc w:val="center"/>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b w:val="0"/>
                <w:bCs w:val="0"/>
                <w:color w:val="000000"/>
                <w:kern w:val="0"/>
                <w:sz w:val="24"/>
                <w:szCs w:val="24"/>
                <w:vertAlign w:val="baseline"/>
                <w:lang w:val="en-US" w:eastAsia="zh-CN"/>
              </w:rPr>
              <w:t>5分</w:t>
            </w:r>
          </w:p>
        </w:tc>
        <w:tc>
          <w:tcPr>
            <w:tcW w:w="748"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1135" w:type="dxa"/>
            <w:vMerge w:val="restart"/>
          </w:tcPr>
          <w:p>
            <w:pPr>
              <w:keepNext w:val="0"/>
              <w:keepLines w:val="0"/>
              <w:pageBreakBefore w:val="0"/>
              <w:numPr>
                <w:ilvl w:val="-1"/>
                <w:numId w:val="0"/>
              </w:numPr>
              <w:kinsoku/>
              <w:wordWrap w:val="0"/>
              <w:overflowPunct/>
              <w:topLinePunct/>
              <w:autoSpaceDE/>
              <w:autoSpaceDN/>
              <w:bidi w:val="0"/>
              <w:adjustRightInd/>
              <w:snapToGrid/>
              <w:spacing w:line="300" w:lineRule="exact"/>
              <w:ind w:left="0" w:leftChars="0" w:firstLine="0" w:firstLineChars="0"/>
              <w:jc w:val="left"/>
              <w:textAlignment w:val="auto"/>
              <w:rPr>
                <w:rFonts w:hint="default" w:ascii="Times New Roman" w:hAnsi="Times New Roman" w:eastAsia="方正仿宋_GBK" w:cs="Times New Roman"/>
                <w:color w:val="000000"/>
                <w:kern w:val="0"/>
                <w:sz w:val="24"/>
                <w:szCs w:val="24"/>
                <w:u w:val="none"/>
                <w:lang w:val="en-US" w:eastAsia="zh-CN"/>
              </w:rPr>
            </w:pPr>
          </w:p>
          <w:p>
            <w:pPr>
              <w:keepNext w:val="0"/>
              <w:keepLines w:val="0"/>
              <w:pageBreakBefore w:val="0"/>
              <w:numPr>
                <w:ilvl w:val="-1"/>
                <w:numId w:val="0"/>
              </w:numPr>
              <w:kinsoku/>
              <w:wordWrap w:val="0"/>
              <w:overflowPunct/>
              <w:topLinePunct/>
              <w:autoSpaceDE/>
              <w:autoSpaceDN/>
              <w:bidi w:val="0"/>
              <w:adjustRightInd/>
              <w:snapToGrid/>
              <w:spacing w:line="300" w:lineRule="exact"/>
              <w:ind w:left="0" w:leftChars="0" w:firstLine="0" w:firstLineChars="0"/>
              <w:jc w:val="left"/>
              <w:textAlignment w:val="auto"/>
              <w:rPr>
                <w:rFonts w:hint="default" w:ascii="Times New Roman" w:hAnsi="Times New Roman" w:eastAsia="方正仿宋_GBK" w:cs="Times New Roman"/>
                <w:color w:val="000000"/>
                <w:kern w:val="0"/>
                <w:sz w:val="24"/>
                <w:szCs w:val="24"/>
                <w:u w:val="none"/>
                <w:lang w:val="en-US" w:eastAsia="zh-CN"/>
              </w:rPr>
            </w:pPr>
          </w:p>
          <w:p>
            <w:pPr>
              <w:keepNext w:val="0"/>
              <w:keepLines w:val="0"/>
              <w:pageBreakBefore w:val="0"/>
              <w:numPr>
                <w:ilvl w:val="-1"/>
                <w:numId w:val="0"/>
              </w:numPr>
              <w:kinsoku/>
              <w:wordWrap w:val="0"/>
              <w:overflowPunct/>
              <w:topLinePunct/>
              <w:autoSpaceDE/>
              <w:autoSpaceDN/>
              <w:bidi w:val="0"/>
              <w:adjustRightInd/>
              <w:snapToGrid/>
              <w:spacing w:line="300" w:lineRule="exact"/>
              <w:ind w:left="0" w:leftChars="0" w:firstLine="0" w:firstLineChars="0"/>
              <w:jc w:val="left"/>
              <w:textAlignment w:val="auto"/>
              <w:rPr>
                <w:rFonts w:hint="default" w:ascii="Times New Roman" w:hAnsi="Times New Roman" w:eastAsia="方正仿宋_GBK" w:cs="Times New Roman"/>
                <w:color w:val="000000"/>
                <w:kern w:val="0"/>
                <w:sz w:val="24"/>
                <w:szCs w:val="24"/>
                <w:u w:val="none"/>
                <w:lang w:val="en-US" w:eastAsia="zh-CN"/>
              </w:rPr>
            </w:pPr>
          </w:p>
          <w:p>
            <w:pPr>
              <w:keepNext w:val="0"/>
              <w:keepLines w:val="0"/>
              <w:pageBreakBefore w:val="0"/>
              <w:numPr>
                <w:ilvl w:val="-1"/>
                <w:numId w:val="0"/>
              </w:numPr>
              <w:kinsoku/>
              <w:wordWrap w:val="0"/>
              <w:overflowPunct/>
              <w:topLinePunct/>
              <w:autoSpaceDE/>
              <w:autoSpaceDN/>
              <w:bidi w:val="0"/>
              <w:adjustRightInd/>
              <w:snapToGrid/>
              <w:spacing w:line="300" w:lineRule="exact"/>
              <w:ind w:left="0" w:leftChars="0" w:firstLine="0" w:firstLineChars="0"/>
              <w:jc w:val="left"/>
              <w:textAlignment w:val="auto"/>
              <w:rPr>
                <w:rFonts w:hint="default" w:ascii="Times New Roman" w:hAnsi="Times New Roman" w:eastAsia="方正仿宋_GBK" w:cs="Times New Roman"/>
                <w:color w:val="000000"/>
                <w:kern w:val="0"/>
                <w:sz w:val="24"/>
                <w:szCs w:val="24"/>
                <w:u w:val="none"/>
                <w:lang w:val="en-US" w:eastAsia="zh-CN"/>
              </w:rPr>
            </w:pPr>
          </w:p>
          <w:p>
            <w:pPr>
              <w:keepNext w:val="0"/>
              <w:keepLines w:val="0"/>
              <w:pageBreakBefore w:val="0"/>
              <w:numPr>
                <w:ilvl w:val="-1"/>
                <w:numId w:val="0"/>
              </w:numPr>
              <w:kinsoku/>
              <w:wordWrap w:val="0"/>
              <w:overflowPunct/>
              <w:topLinePunct/>
              <w:autoSpaceDE/>
              <w:autoSpaceDN/>
              <w:bidi w:val="0"/>
              <w:adjustRightInd/>
              <w:snapToGrid/>
              <w:spacing w:line="300" w:lineRule="exact"/>
              <w:ind w:left="0" w:leftChars="0" w:firstLine="0" w:firstLineChars="0"/>
              <w:jc w:val="left"/>
              <w:textAlignment w:val="auto"/>
              <w:rPr>
                <w:rFonts w:hint="default" w:ascii="Times New Roman" w:hAnsi="Times New Roman" w:eastAsia="方正仿宋_GBK" w:cs="Times New Roman"/>
                <w:color w:val="000000"/>
                <w:kern w:val="0"/>
                <w:sz w:val="24"/>
                <w:szCs w:val="24"/>
                <w:u w:val="none"/>
                <w:lang w:val="en-US" w:eastAsia="zh-CN"/>
              </w:rPr>
            </w:pPr>
          </w:p>
          <w:p>
            <w:pPr>
              <w:keepNext w:val="0"/>
              <w:keepLines w:val="0"/>
              <w:pageBreakBefore w:val="0"/>
              <w:numPr>
                <w:ilvl w:val="-1"/>
                <w:numId w:val="0"/>
              </w:numPr>
              <w:kinsoku/>
              <w:wordWrap w:val="0"/>
              <w:overflowPunct/>
              <w:topLinePunct/>
              <w:autoSpaceDE/>
              <w:autoSpaceDN/>
              <w:bidi w:val="0"/>
              <w:adjustRightInd/>
              <w:snapToGrid/>
              <w:spacing w:line="300" w:lineRule="exact"/>
              <w:ind w:left="0" w:leftChars="0" w:firstLine="0" w:firstLineChars="0"/>
              <w:jc w:val="left"/>
              <w:textAlignment w:val="auto"/>
              <w:rPr>
                <w:rFonts w:hint="default" w:ascii="Times New Roman" w:hAnsi="Times New Roman" w:eastAsia="方正仿宋_GBK" w:cs="Times New Roman"/>
                <w:color w:val="000000"/>
                <w:kern w:val="0"/>
                <w:sz w:val="24"/>
                <w:szCs w:val="24"/>
                <w:u w:val="none"/>
                <w:lang w:val="en-US" w:eastAsia="zh-CN"/>
              </w:rPr>
            </w:pPr>
            <w:r>
              <w:rPr>
                <w:rFonts w:hint="default" w:ascii="Times New Roman" w:hAnsi="Times New Roman" w:eastAsia="方正仿宋_GBK" w:cs="Times New Roman"/>
                <w:color w:val="000000"/>
                <w:kern w:val="0"/>
                <w:sz w:val="24"/>
                <w:szCs w:val="24"/>
                <w:u w:val="none"/>
                <w:lang w:val="en-US" w:eastAsia="zh-CN"/>
              </w:rPr>
              <w:t>受托管理业绩</w:t>
            </w:r>
          </w:p>
          <w:p>
            <w:pPr>
              <w:keepNext w:val="0"/>
              <w:keepLines w:val="0"/>
              <w:pageBreakBefore w:val="0"/>
              <w:numPr>
                <w:ilvl w:val="-1"/>
                <w:numId w:val="0"/>
              </w:numPr>
              <w:kinsoku/>
              <w:wordWrap w:val="0"/>
              <w:overflowPunct/>
              <w:topLinePunct/>
              <w:autoSpaceDE/>
              <w:autoSpaceDN/>
              <w:bidi w:val="0"/>
              <w:adjustRightInd/>
              <w:snapToGrid/>
              <w:spacing w:line="300" w:lineRule="exact"/>
              <w:ind w:left="0" w:leftChars="0" w:firstLine="0" w:firstLineChars="0"/>
              <w:jc w:val="left"/>
              <w:textAlignment w:val="auto"/>
              <w:rPr>
                <w:rFonts w:hint="default" w:ascii="Times New Roman" w:hAnsi="Times New Roman" w:eastAsia="方正仿宋_GBK" w:cs="Times New Roman"/>
                <w:color w:val="000000"/>
                <w:kern w:val="0"/>
                <w:sz w:val="24"/>
                <w:szCs w:val="24"/>
                <w:u w:val="none"/>
                <w:lang w:val="en-US" w:eastAsia="zh-CN"/>
              </w:rPr>
            </w:pPr>
            <w:r>
              <w:rPr>
                <w:rFonts w:hint="eastAsia" w:ascii="Times New Roman" w:hAnsi="Times New Roman" w:eastAsia="方正仿宋_GBK" w:cs="Times New Roman"/>
                <w:color w:val="000000"/>
                <w:kern w:val="0"/>
                <w:sz w:val="24"/>
                <w:szCs w:val="24"/>
                <w:u w:val="none"/>
                <w:lang w:val="en-US" w:eastAsia="zh-CN"/>
              </w:rPr>
              <w:t>（30分）</w:t>
            </w:r>
          </w:p>
          <w:p>
            <w:pPr>
              <w:keepNext w:val="0"/>
              <w:keepLines w:val="0"/>
              <w:pageBreakBefore w:val="0"/>
              <w:numPr>
                <w:ilvl w:val="0"/>
                <w:numId w:val="0"/>
              </w:numPr>
              <w:kinsoku/>
              <w:wordWrap w:val="0"/>
              <w:overflowPunct/>
              <w:topLinePunct/>
              <w:autoSpaceDE/>
              <w:autoSpaceDN/>
              <w:bidi w:val="0"/>
              <w:adjustRightInd/>
              <w:snapToGrid/>
              <w:spacing w:line="300" w:lineRule="exact"/>
              <w:ind w:leftChars="0"/>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p>
        </w:tc>
        <w:tc>
          <w:tcPr>
            <w:tcW w:w="1876"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b w:val="0"/>
                <w:bCs w:val="0"/>
                <w:color w:val="000000"/>
                <w:kern w:val="0"/>
                <w:sz w:val="24"/>
                <w:szCs w:val="24"/>
                <w:vertAlign w:val="baseline"/>
                <w:lang w:val="en-US" w:eastAsia="zh-CN"/>
              </w:rPr>
              <w:t>受托管理全部集合计划2019</w:t>
            </w:r>
            <w:r>
              <w:rPr>
                <w:rFonts w:hint="eastAsia" w:ascii="Times New Roman" w:hAnsi="Times New Roman" w:eastAsia="方正仿宋_GBK" w:cs="Times New Roman"/>
                <w:b w:val="0"/>
                <w:bCs w:val="0"/>
                <w:color w:val="000000"/>
                <w:kern w:val="0"/>
                <w:sz w:val="24"/>
                <w:szCs w:val="24"/>
                <w:vertAlign w:val="baseline"/>
                <w:lang w:val="en-US" w:eastAsia="zh-CN"/>
              </w:rPr>
              <w:t>第一季度</w:t>
            </w:r>
            <w:r>
              <w:rPr>
                <w:rFonts w:hint="default" w:ascii="Times New Roman" w:hAnsi="Times New Roman" w:eastAsia="方正仿宋_GBK" w:cs="Times New Roman"/>
                <w:b w:val="0"/>
                <w:bCs w:val="0"/>
                <w:color w:val="000000"/>
                <w:kern w:val="0"/>
                <w:sz w:val="24"/>
                <w:szCs w:val="24"/>
                <w:vertAlign w:val="baseline"/>
                <w:lang w:val="en-US" w:eastAsia="zh-CN"/>
              </w:rPr>
              <w:t>-2022年第三季度算术平均收益率</w:t>
            </w:r>
          </w:p>
        </w:tc>
        <w:tc>
          <w:tcPr>
            <w:tcW w:w="4055"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eastAsia" w:ascii="Times New Roman" w:hAnsi="Times New Roman" w:eastAsia="方正仿宋_GBK" w:cs="Times New Roman"/>
                <w:b w:val="0"/>
                <w:bCs w:val="0"/>
                <w:color w:val="000000"/>
                <w:kern w:val="0"/>
                <w:sz w:val="24"/>
                <w:szCs w:val="24"/>
                <w:vertAlign w:val="baseline"/>
                <w:lang w:val="en-US" w:eastAsia="zh-CN"/>
              </w:rPr>
              <w:t>8</w:t>
            </w:r>
            <w:r>
              <w:rPr>
                <w:rFonts w:hint="default" w:ascii="Times New Roman" w:hAnsi="Times New Roman" w:eastAsia="方正仿宋_GBK" w:cs="Times New Roman"/>
                <w:b w:val="0"/>
                <w:bCs w:val="0"/>
                <w:color w:val="000000"/>
                <w:kern w:val="0"/>
                <w:sz w:val="24"/>
                <w:szCs w:val="24"/>
                <w:vertAlign w:val="baseline"/>
                <w:lang w:val="en-US" w:eastAsia="zh-CN"/>
              </w:rPr>
              <w:t>%以上，得</w:t>
            </w:r>
            <w:r>
              <w:rPr>
                <w:rFonts w:hint="eastAsia" w:ascii="Times New Roman" w:hAnsi="Times New Roman" w:eastAsia="方正仿宋_GBK" w:cs="Times New Roman"/>
                <w:b w:val="0"/>
                <w:bCs w:val="0"/>
                <w:color w:val="000000"/>
                <w:kern w:val="0"/>
                <w:sz w:val="24"/>
                <w:szCs w:val="24"/>
                <w:vertAlign w:val="baseline"/>
                <w:lang w:val="en-US" w:eastAsia="zh-CN"/>
              </w:rPr>
              <w:t>10</w:t>
            </w:r>
            <w:r>
              <w:rPr>
                <w:rFonts w:hint="default" w:ascii="Times New Roman" w:hAnsi="Times New Roman" w:eastAsia="方正仿宋_GBK" w:cs="Times New Roman"/>
                <w:b w:val="0"/>
                <w:bCs w:val="0"/>
                <w:color w:val="000000"/>
                <w:kern w:val="0"/>
                <w:sz w:val="24"/>
                <w:szCs w:val="24"/>
                <w:vertAlign w:val="baseline"/>
                <w:lang w:val="en-US" w:eastAsia="zh-CN"/>
              </w:rPr>
              <w:t>分；</w:t>
            </w:r>
            <w:r>
              <w:rPr>
                <w:rFonts w:hint="eastAsia" w:ascii="Times New Roman" w:hAnsi="Times New Roman" w:eastAsia="方正仿宋_GBK" w:cs="Times New Roman"/>
                <w:b w:val="0"/>
                <w:bCs w:val="0"/>
                <w:color w:val="000000"/>
                <w:kern w:val="0"/>
                <w:sz w:val="24"/>
                <w:szCs w:val="24"/>
                <w:vertAlign w:val="baseline"/>
                <w:lang w:val="en-US" w:eastAsia="zh-CN"/>
              </w:rPr>
              <w:t>7</w:t>
            </w:r>
            <w:r>
              <w:rPr>
                <w:rFonts w:hint="default" w:ascii="Times New Roman" w:hAnsi="Times New Roman" w:eastAsia="方正仿宋_GBK" w:cs="Times New Roman"/>
                <w:b w:val="0"/>
                <w:bCs w:val="0"/>
                <w:color w:val="000000"/>
                <w:kern w:val="0"/>
                <w:sz w:val="24"/>
                <w:szCs w:val="24"/>
                <w:vertAlign w:val="baseline"/>
                <w:lang w:val="en-US" w:eastAsia="zh-CN"/>
              </w:rPr>
              <w:t>%-</w:t>
            </w:r>
            <w:r>
              <w:rPr>
                <w:rFonts w:hint="eastAsia" w:ascii="Times New Roman" w:hAnsi="Times New Roman" w:eastAsia="方正仿宋_GBK" w:cs="Times New Roman"/>
                <w:b w:val="0"/>
                <w:bCs w:val="0"/>
                <w:color w:val="000000"/>
                <w:kern w:val="0"/>
                <w:sz w:val="24"/>
                <w:szCs w:val="24"/>
                <w:vertAlign w:val="baseline"/>
                <w:lang w:val="en-US" w:eastAsia="zh-CN"/>
              </w:rPr>
              <w:t>8</w:t>
            </w:r>
            <w:r>
              <w:rPr>
                <w:rFonts w:hint="default" w:ascii="Times New Roman" w:hAnsi="Times New Roman" w:eastAsia="方正仿宋_GBK" w:cs="Times New Roman"/>
                <w:b w:val="0"/>
                <w:bCs w:val="0"/>
                <w:color w:val="000000"/>
                <w:kern w:val="0"/>
                <w:sz w:val="24"/>
                <w:szCs w:val="24"/>
                <w:vertAlign w:val="baseline"/>
                <w:lang w:val="en-US" w:eastAsia="zh-CN"/>
              </w:rPr>
              <w:t>%，得</w:t>
            </w:r>
            <w:r>
              <w:rPr>
                <w:rFonts w:hint="eastAsia" w:ascii="Times New Roman" w:hAnsi="Times New Roman" w:eastAsia="方正仿宋_GBK" w:cs="Times New Roman"/>
                <w:b w:val="0"/>
                <w:bCs w:val="0"/>
                <w:color w:val="000000"/>
                <w:kern w:val="0"/>
                <w:sz w:val="24"/>
                <w:szCs w:val="24"/>
                <w:vertAlign w:val="baseline"/>
                <w:lang w:val="en-US" w:eastAsia="zh-CN"/>
              </w:rPr>
              <w:t>8</w:t>
            </w:r>
            <w:r>
              <w:rPr>
                <w:rFonts w:hint="default" w:ascii="Times New Roman" w:hAnsi="Times New Roman" w:eastAsia="方正仿宋_GBK" w:cs="Times New Roman"/>
                <w:b w:val="0"/>
                <w:bCs w:val="0"/>
                <w:color w:val="000000"/>
                <w:kern w:val="0"/>
                <w:sz w:val="24"/>
                <w:szCs w:val="24"/>
                <w:vertAlign w:val="baseline"/>
                <w:lang w:val="en-US" w:eastAsia="zh-CN"/>
              </w:rPr>
              <w:t>分；</w:t>
            </w:r>
            <w:r>
              <w:rPr>
                <w:rFonts w:hint="eastAsia" w:ascii="Times New Roman" w:hAnsi="Times New Roman" w:eastAsia="方正仿宋_GBK" w:cs="Times New Roman"/>
                <w:b w:val="0"/>
                <w:bCs w:val="0"/>
                <w:color w:val="000000"/>
                <w:kern w:val="0"/>
                <w:sz w:val="24"/>
                <w:szCs w:val="24"/>
                <w:vertAlign w:val="baseline"/>
                <w:lang w:val="en-US" w:eastAsia="zh-CN"/>
              </w:rPr>
              <w:t>6</w:t>
            </w:r>
            <w:r>
              <w:rPr>
                <w:rFonts w:hint="default" w:ascii="Times New Roman" w:hAnsi="Times New Roman" w:eastAsia="方正仿宋_GBK" w:cs="Times New Roman"/>
                <w:b w:val="0"/>
                <w:bCs w:val="0"/>
                <w:color w:val="000000"/>
                <w:kern w:val="0"/>
                <w:sz w:val="24"/>
                <w:szCs w:val="24"/>
                <w:vertAlign w:val="baseline"/>
                <w:lang w:val="en-US" w:eastAsia="zh-CN"/>
              </w:rPr>
              <w:t>%</w:t>
            </w:r>
            <w:r>
              <w:rPr>
                <w:rFonts w:hint="eastAsia" w:ascii="Times New Roman" w:hAnsi="Times New Roman" w:eastAsia="方正仿宋_GBK" w:cs="Times New Roman"/>
                <w:b w:val="0"/>
                <w:bCs w:val="0"/>
                <w:color w:val="000000"/>
                <w:kern w:val="0"/>
                <w:sz w:val="24"/>
                <w:szCs w:val="24"/>
                <w:vertAlign w:val="baseline"/>
                <w:lang w:val="en-US" w:eastAsia="zh-CN"/>
              </w:rPr>
              <w:t>-7</w:t>
            </w:r>
            <w:r>
              <w:rPr>
                <w:rFonts w:hint="default" w:ascii="Times New Roman" w:hAnsi="Times New Roman" w:eastAsia="方正仿宋_GBK" w:cs="Times New Roman"/>
                <w:b w:val="0"/>
                <w:bCs w:val="0"/>
                <w:color w:val="000000"/>
                <w:kern w:val="0"/>
                <w:sz w:val="24"/>
                <w:szCs w:val="24"/>
                <w:vertAlign w:val="baseline"/>
                <w:lang w:val="en-US" w:eastAsia="zh-CN"/>
              </w:rPr>
              <w:t>%，得</w:t>
            </w:r>
            <w:r>
              <w:rPr>
                <w:rFonts w:hint="eastAsia" w:ascii="Times New Roman" w:hAnsi="Times New Roman" w:eastAsia="方正仿宋_GBK" w:cs="Times New Roman"/>
                <w:b w:val="0"/>
                <w:bCs w:val="0"/>
                <w:color w:val="000000"/>
                <w:kern w:val="0"/>
                <w:sz w:val="24"/>
                <w:szCs w:val="24"/>
                <w:vertAlign w:val="baseline"/>
                <w:lang w:val="en-US" w:eastAsia="zh-CN"/>
              </w:rPr>
              <w:t>6</w:t>
            </w:r>
            <w:r>
              <w:rPr>
                <w:rFonts w:hint="default" w:ascii="Times New Roman" w:hAnsi="Times New Roman" w:eastAsia="方正仿宋_GBK" w:cs="Times New Roman"/>
                <w:b w:val="0"/>
                <w:bCs w:val="0"/>
                <w:color w:val="000000"/>
                <w:kern w:val="0"/>
                <w:sz w:val="24"/>
                <w:szCs w:val="24"/>
                <w:vertAlign w:val="baseline"/>
                <w:lang w:val="en-US" w:eastAsia="zh-CN"/>
              </w:rPr>
              <w:t>分；</w:t>
            </w:r>
            <w:r>
              <w:rPr>
                <w:rFonts w:hint="eastAsia" w:ascii="Times New Roman" w:hAnsi="Times New Roman" w:eastAsia="方正仿宋_GBK" w:cs="Times New Roman"/>
                <w:b w:val="0"/>
                <w:bCs w:val="0"/>
                <w:color w:val="000000"/>
                <w:kern w:val="0"/>
                <w:sz w:val="24"/>
                <w:szCs w:val="24"/>
                <w:vertAlign w:val="baseline"/>
                <w:lang w:val="en-US" w:eastAsia="zh-CN"/>
              </w:rPr>
              <w:t>5</w:t>
            </w:r>
            <w:r>
              <w:rPr>
                <w:rFonts w:hint="default" w:ascii="Times New Roman" w:hAnsi="Times New Roman" w:eastAsia="方正仿宋_GBK" w:cs="Times New Roman"/>
                <w:b w:val="0"/>
                <w:bCs w:val="0"/>
                <w:color w:val="000000"/>
                <w:kern w:val="0"/>
                <w:sz w:val="24"/>
                <w:szCs w:val="24"/>
                <w:vertAlign w:val="baseline"/>
                <w:lang w:val="en-US" w:eastAsia="zh-CN"/>
              </w:rPr>
              <w:t>%-</w:t>
            </w:r>
            <w:r>
              <w:rPr>
                <w:rFonts w:hint="eastAsia" w:ascii="Times New Roman" w:hAnsi="Times New Roman" w:eastAsia="方正仿宋_GBK" w:cs="Times New Roman"/>
                <w:b w:val="0"/>
                <w:bCs w:val="0"/>
                <w:color w:val="000000"/>
                <w:kern w:val="0"/>
                <w:sz w:val="24"/>
                <w:szCs w:val="24"/>
                <w:vertAlign w:val="baseline"/>
                <w:lang w:val="en-US" w:eastAsia="zh-CN"/>
              </w:rPr>
              <w:t>6</w:t>
            </w:r>
            <w:r>
              <w:rPr>
                <w:rFonts w:hint="default" w:ascii="Times New Roman" w:hAnsi="Times New Roman" w:eastAsia="方正仿宋_GBK" w:cs="Times New Roman"/>
                <w:b w:val="0"/>
                <w:bCs w:val="0"/>
                <w:color w:val="000000"/>
                <w:kern w:val="0"/>
                <w:sz w:val="24"/>
                <w:szCs w:val="24"/>
                <w:vertAlign w:val="baseline"/>
                <w:lang w:val="en-US" w:eastAsia="zh-CN"/>
              </w:rPr>
              <w:t>%，得</w:t>
            </w:r>
            <w:r>
              <w:rPr>
                <w:rFonts w:hint="eastAsia" w:ascii="Times New Roman" w:hAnsi="Times New Roman" w:eastAsia="方正仿宋_GBK" w:cs="Times New Roman"/>
                <w:b w:val="0"/>
                <w:bCs w:val="0"/>
                <w:color w:val="000000"/>
                <w:kern w:val="0"/>
                <w:sz w:val="24"/>
                <w:szCs w:val="24"/>
                <w:vertAlign w:val="baseline"/>
                <w:lang w:val="en-US" w:eastAsia="zh-CN"/>
              </w:rPr>
              <w:t>4</w:t>
            </w:r>
            <w:r>
              <w:rPr>
                <w:rFonts w:hint="default" w:ascii="Times New Roman" w:hAnsi="Times New Roman" w:eastAsia="方正仿宋_GBK" w:cs="Times New Roman"/>
                <w:b w:val="0"/>
                <w:bCs w:val="0"/>
                <w:color w:val="000000"/>
                <w:kern w:val="0"/>
                <w:sz w:val="24"/>
                <w:szCs w:val="24"/>
                <w:vertAlign w:val="baseline"/>
                <w:lang w:val="en-US" w:eastAsia="zh-CN"/>
              </w:rPr>
              <w:t>分，5%以下，得</w:t>
            </w:r>
            <w:r>
              <w:rPr>
                <w:rFonts w:hint="eastAsia" w:ascii="Times New Roman" w:hAnsi="Times New Roman" w:eastAsia="方正仿宋_GBK" w:cs="Times New Roman"/>
                <w:b w:val="0"/>
                <w:bCs w:val="0"/>
                <w:color w:val="000000"/>
                <w:kern w:val="0"/>
                <w:sz w:val="24"/>
                <w:szCs w:val="24"/>
                <w:vertAlign w:val="baseline"/>
                <w:lang w:val="en-US" w:eastAsia="zh-CN"/>
              </w:rPr>
              <w:t>2</w:t>
            </w:r>
            <w:r>
              <w:rPr>
                <w:rFonts w:hint="default" w:ascii="Times New Roman" w:hAnsi="Times New Roman" w:eastAsia="方正仿宋_GBK" w:cs="Times New Roman"/>
                <w:b w:val="0"/>
                <w:bCs w:val="0"/>
                <w:color w:val="000000"/>
                <w:kern w:val="0"/>
                <w:sz w:val="24"/>
                <w:szCs w:val="24"/>
                <w:vertAlign w:val="baseline"/>
                <w:lang w:val="en-US" w:eastAsia="zh-CN"/>
              </w:rPr>
              <w:t>分。</w:t>
            </w:r>
          </w:p>
        </w:tc>
        <w:tc>
          <w:tcPr>
            <w:tcW w:w="843" w:type="dxa"/>
          </w:tcPr>
          <w:p>
            <w:pPr>
              <w:keepNext w:val="0"/>
              <w:keepLines w:val="0"/>
              <w:pageBreakBefore w:val="0"/>
              <w:kinsoku/>
              <w:wordWrap w:val="0"/>
              <w:overflowPunct/>
              <w:topLinePunct/>
              <w:autoSpaceDE/>
              <w:autoSpaceDN/>
              <w:bidi w:val="0"/>
              <w:adjustRightInd/>
              <w:snapToGrid/>
              <w:spacing w:line="300" w:lineRule="exact"/>
              <w:jc w:val="center"/>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b w:val="0"/>
                <w:bCs w:val="0"/>
                <w:color w:val="000000"/>
                <w:kern w:val="0"/>
                <w:sz w:val="24"/>
                <w:szCs w:val="24"/>
                <w:vertAlign w:val="baseline"/>
                <w:lang w:val="en-US" w:eastAsia="zh-CN"/>
              </w:rPr>
              <w:t>1</w:t>
            </w:r>
            <w:r>
              <w:rPr>
                <w:rFonts w:hint="eastAsia" w:ascii="Times New Roman" w:hAnsi="Times New Roman" w:eastAsia="方正仿宋_GBK" w:cs="Times New Roman"/>
                <w:b w:val="0"/>
                <w:bCs w:val="0"/>
                <w:color w:val="000000"/>
                <w:kern w:val="0"/>
                <w:sz w:val="24"/>
                <w:szCs w:val="24"/>
                <w:vertAlign w:val="baseline"/>
                <w:lang w:val="en-US" w:eastAsia="zh-CN"/>
              </w:rPr>
              <w:t>0</w:t>
            </w:r>
            <w:r>
              <w:rPr>
                <w:rFonts w:hint="default" w:ascii="Times New Roman" w:hAnsi="Times New Roman" w:eastAsia="方正仿宋_GBK" w:cs="Times New Roman"/>
                <w:b w:val="0"/>
                <w:bCs w:val="0"/>
                <w:color w:val="000000"/>
                <w:kern w:val="0"/>
                <w:sz w:val="24"/>
                <w:szCs w:val="24"/>
                <w:vertAlign w:val="baseline"/>
                <w:lang w:val="en-US" w:eastAsia="zh-CN"/>
              </w:rPr>
              <w:t>分</w:t>
            </w:r>
          </w:p>
        </w:tc>
        <w:tc>
          <w:tcPr>
            <w:tcW w:w="748"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135" w:type="dxa"/>
            <w:vMerge w:val="continue"/>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4"/>
                <w:szCs w:val="24"/>
                <w:u w:val="none"/>
                <w:lang w:val="en-US" w:eastAsia="zh-CN"/>
              </w:rPr>
            </w:pPr>
          </w:p>
        </w:tc>
        <w:tc>
          <w:tcPr>
            <w:tcW w:w="1876"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b w:val="0"/>
                <w:bCs w:val="0"/>
                <w:color w:val="000000"/>
                <w:kern w:val="0"/>
                <w:sz w:val="24"/>
                <w:szCs w:val="24"/>
                <w:vertAlign w:val="baseline"/>
                <w:lang w:val="en-US" w:eastAsia="zh-CN"/>
              </w:rPr>
              <w:t>拟推荐的固收类组合集合计划产品2019-2022年算术平均收益率</w:t>
            </w:r>
          </w:p>
        </w:tc>
        <w:tc>
          <w:tcPr>
            <w:tcW w:w="4055"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b w:val="0"/>
                <w:bCs w:val="0"/>
                <w:color w:val="000000"/>
                <w:kern w:val="0"/>
                <w:sz w:val="24"/>
                <w:szCs w:val="24"/>
                <w:vertAlign w:val="baseline"/>
                <w:lang w:val="en-US" w:eastAsia="zh-CN"/>
              </w:rPr>
              <w:t>根据2019</w:t>
            </w:r>
            <w:r>
              <w:rPr>
                <w:rFonts w:hint="eastAsia" w:ascii="Times New Roman" w:hAnsi="Times New Roman" w:eastAsia="方正仿宋_GBK" w:cs="Times New Roman"/>
                <w:b w:val="0"/>
                <w:bCs w:val="0"/>
                <w:color w:val="000000"/>
                <w:kern w:val="0"/>
                <w:sz w:val="24"/>
                <w:szCs w:val="24"/>
                <w:vertAlign w:val="baseline"/>
                <w:lang w:val="en-US" w:eastAsia="zh-CN"/>
              </w:rPr>
              <w:t>第一季度</w:t>
            </w:r>
            <w:r>
              <w:rPr>
                <w:rFonts w:hint="default" w:ascii="Times New Roman" w:hAnsi="Times New Roman" w:eastAsia="方正仿宋_GBK" w:cs="Times New Roman"/>
                <w:b w:val="0"/>
                <w:bCs w:val="0"/>
                <w:color w:val="000000"/>
                <w:kern w:val="0"/>
                <w:sz w:val="24"/>
                <w:szCs w:val="24"/>
                <w:vertAlign w:val="baseline"/>
                <w:lang w:val="en-US" w:eastAsia="zh-CN"/>
              </w:rPr>
              <w:t>-2022年</w:t>
            </w:r>
            <w:r>
              <w:rPr>
                <w:rFonts w:hint="eastAsia" w:ascii="Times New Roman" w:hAnsi="Times New Roman" w:eastAsia="方正仿宋_GBK" w:cs="Times New Roman"/>
                <w:b w:val="0"/>
                <w:bCs w:val="0"/>
                <w:color w:val="000000"/>
                <w:kern w:val="0"/>
                <w:sz w:val="24"/>
                <w:szCs w:val="24"/>
                <w:vertAlign w:val="baseline"/>
                <w:lang w:val="en-US" w:eastAsia="zh-CN"/>
              </w:rPr>
              <w:t>第</w:t>
            </w:r>
            <w:r>
              <w:rPr>
                <w:rFonts w:hint="default" w:ascii="Times New Roman" w:hAnsi="Times New Roman" w:eastAsia="方正仿宋_GBK" w:cs="Times New Roman"/>
                <w:b w:val="0"/>
                <w:bCs w:val="0"/>
                <w:color w:val="000000"/>
                <w:kern w:val="0"/>
                <w:sz w:val="24"/>
                <w:szCs w:val="24"/>
                <w:vertAlign w:val="baseline"/>
                <w:lang w:val="en-US" w:eastAsia="zh-CN"/>
              </w:rPr>
              <w:t>三季度间企业年金集合计划固定收益类组合算术平均收益率由高到低的排名进行评分。第一名得</w:t>
            </w:r>
            <w:r>
              <w:rPr>
                <w:rFonts w:hint="eastAsia" w:ascii="Times New Roman" w:hAnsi="Times New Roman" w:eastAsia="方正仿宋_GBK" w:cs="Times New Roman"/>
                <w:b w:val="0"/>
                <w:bCs w:val="0"/>
                <w:color w:val="000000"/>
                <w:kern w:val="0"/>
                <w:sz w:val="24"/>
                <w:szCs w:val="24"/>
                <w:vertAlign w:val="baseline"/>
                <w:lang w:val="en-US" w:eastAsia="zh-CN"/>
              </w:rPr>
              <w:t>10</w:t>
            </w:r>
            <w:r>
              <w:rPr>
                <w:rFonts w:hint="default" w:ascii="Times New Roman" w:hAnsi="Times New Roman" w:eastAsia="方正仿宋_GBK" w:cs="Times New Roman"/>
                <w:b w:val="0"/>
                <w:bCs w:val="0"/>
                <w:color w:val="000000"/>
                <w:kern w:val="0"/>
                <w:sz w:val="24"/>
                <w:szCs w:val="24"/>
                <w:vertAlign w:val="baseline"/>
                <w:lang w:val="en-US" w:eastAsia="zh-CN"/>
              </w:rPr>
              <w:t>分，第二名得</w:t>
            </w:r>
            <w:r>
              <w:rPr>
                <w:rFonts w:hint="eastAsia" w:ascii="Times New Roman" w:hAnsi="Times New Roman" w:eastAsia="方正仿宋_GBK" w:cs="Times New Roman"/>
                <w:b w:val="0"/>
                <w:bCs w:val="0"/>
                <w:color w:val="000000"/>
                <w:kern w:val="0"/>
                <w:sz w:val="24"/>
                <w:szCs w:val="24"/>
                <w:vertAlign w:val="baseline"/>
                <w:lang w:val="en-US" w:eastAsia="zh-CN"/>
              </w:rPr>
              <w:t>8</w:t>
            </w:r>
            <w:r>
              <w:rPr>
                <w:rFonts w:hint="default" w:ascii="Times New Roman" w:hAnsi="Times New Roman" w:eastAsia="方正仿宋_GBK" w:cs="Times New Roman"/>
                <w:b w:val="0"/>
                <w:bCs w:val="0"/>
                <w:color w:val="000000"/>
                <w:kern w:val="0"/>
                <w:sz w:val="24"/>
                <w:szCs w:val="24"/>
                <w:vertAlign w:val="baseline"/>
                <w:lang w:val="en-US" w:eastAsia="zh-CN"/>
              </w:rPr>
              <w:t>分，依次递减</w:t>
            </w:r>
            <w:r>
              <w:rPr>
                <w:rFonts w:hint="eastAsia" w:ascii="Times New Roman" w:hAnsi="Times New Roman" w:eastAsia="方正仿宋_GBK" w:cs="Times New Roman"/>
                <w:b w:val="0"/>
                <w:bCs w:val="0"/>
                <w:color w:val="000000"/>
                <w:kern w:val="0"/>
                <w:sz w:val="24"/>
                <w:szCs w:val="24"/>
                <w:vertAlign w:val="baseline"/>
                <w:lang w:val="en-US" w:eastAsia="zh-CN"/>
              </w:rPr>
              <w:t>2</w:t>
            </w:r>
            <w:r>
              <w:rPr>
                <w:rFonts w:hint="default" w:ascii="Times New Roman" w:hAnsi="Times New Roman" w:eastAsia="方正仿宋_GBK" w:cs="Times New Roman"/>
                <w:b w:val="0"/>
                <w:bCs w:val="0"/>
                <w:color w:val="000000"/>
                <w:kern w:val="0"/>
                <w:sz w:val="24"/>
                <w:szCs w:val="24"/>
                <w:vertAlign w:val="baseline"/>
                <w:lang w:val="en-US" w:eastAsia="zh-CN"/>
              </w:rPr>
              <w:t>分。</w:t>
            </w:r>
          </w:p>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p>
        </w:tc>
        <w:tc>
          <w:tcPr>
            <w:tcW w:w="843" w:type="dxa"/>
          </w:tcPr>
          <w:p>
            <w:pPr>
              <w:keepNext w:val="0"/>
              <w:keepLines w:val="0"/>
              <w:pageBreakBefore w:val="0"/>
              <w:kinsoku/>
              <w:wordWrap w:val="0"/>
              <w:overflowPunct/>
              <w:topLinePunct/>
              <w:autoSpaceDE/>
              <w:autoSpaceDN/>
              <w:bidi w:val="0"/>
              <w:adjustRightInd/>
              <w:snapToGrid/>
              <w:spacing w:line="300" w:lineRule="exact"/>
              <w:jc w:val="center"/>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b w:val="0"/>
                <w:bCs w:val="0"/>
                <w:color w:val="000000"/>
                <w:kern w:val="0"/>
                <w:sz w:val="24"/>
                <w:szCs w:val="24"/>
                <w:vertAlign w:val="baseline"/>
                <w:lang w:val="en-US" w:eastAsia="zh-CN"/>
              </w:rPr>
              <w:t>10分</w:t>
            </w:r>
          </w:p>
        </w:tc>
        <w:tc>
          <w:tcPr>
            <w:tcW w:w="748"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135" w:type="dxa"/>
            <w:vMerge w:val="continue"/>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color w:val="000000"/>
                <w:kern w:val="0"/>
                <w:sz w:val="24"/>
                <w:szCs w:val="24"/>
                <w:u w:val="none"/>
                <w:lang w:val="en-US" w:eastAsia="zh-CN"/>
              </w:rPr>
            </w:pPr>
          </w:p>
        </w:tc>
        <w:tc>
          <w:tcPr>
            <w:tcW w:w="1876"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b w:val="0"/>
                <w:bCs w:val="0"/>
                <w:color w:val="000000"/>
                <w:kern w:val="0"/>
                <w:sz w:val="24"/>
                <w:szCs w:val="24"/>
                <w:vertAlign w:val="baseline"/>
                <w:lang w:val="en-US" w:eastAsia="zh-CN"/>
              </w:rPr>
              <w:t>拟推荐的含权类组合集合计划产品2019-2022年算术平均收益率</w:t>
            </w:r>
          </w:p>
        </w:tc>
        <w:tc>
          <w:tcPr>
            <w:tcW w:w="4055" w:type="dxa"/>
          </w:tcPr>
          <w:p>
            <w:pPr>
              <w:keepNext w:val="0"/>
              <w:keepLines w:val="0"/>
              <w:pageBreakBefore w:val="0"/>
              <w:widowControl/>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i w:val="0"/>
                <w:iCs w:val="0"/>
                <w:color w:val="000000"/>
                <w:kern w:val="0"/>
                <w:sz w:val="24"/>
                <w:szCs w:val="24"/>
                <w:u w:val="none"/>
                <w:lang w:val="en-US" w:eastAsia="zh-CN" w:bidi="ar"/>
              </w:rPr>
              <w:t>根据2019</w:t>
            </w:r>
            <w:r>
              <w:rPr>
                <w:rFonts w:hint="eastAsia" w:ascii="Times New Roman" w:hAnsi="Times New Roman" w:eastAsia="方正仿宋_GBK" w:cs="Times New Roman"/>
                <w:i w:val="0"/>
                <w:iCs w:val="0"/>
                <w:color w:val="000000"/>
                <w:kern w:val="0"/>
                <w:sz w:val="24"/>
                <w:szCs w:val="24"/>
                <w:u w:val="none"/>
                <w:lang w:val="en-US" w:eastAsia="zh-CN" w:bidi="ar"/>
              </w:rPr>
              <w:t>第一季度</w:t>
            </w:r>
            <w:r>
              <w:rPr>
                <w:rFonts w:hint="default" w:ascii="Times New Roman" w:hAnsi="Times New Roman" w:eastAsia="方正仿宋_GBK" w:cs="Times New Roman"/>
                <w:i w:val="0"/>
                <w:iCs w:val="0"/>
                <w:color w:val="000000"/>
                <w:kern w:val="0"/>
                <w:sz w:val="24"/>
                <w:szCs w:val="24"/>
                <w:u w:val="none"/>
                <w:lang w:val="en-US" w:eastAsia="zh-CN" w:bidi="ar"/>
              </w:rPr>
              <w:t>-2022年</w:t>
            </w:r>
            <w:r>
              <w:rPr>
                <w:rFonts w:hint="eastAsia" w:ascii="Times New Roman" w:hAnsi="Times New Roman" w:eastAsia="方正仿宋_GBK" w:cs="Times New Roman"/>
                <w:i w:val="0"/>
                <w:iCs w:val="0"/>
                <w:color w:val="000000"/>
                <w:kern w:val="0"/>
                <w:sz w:val="24"/>
                <w:szCs w:val="24"/>
                <w:u w:val="none"/>
                <w:lang w:val="en-US" w:eastAsia="zh-CN" w:bidi="ar"/>
              </w:rPr>
              <w:t>第</w:t>
            </w:r>
            <w:r>
              <w:rPr>
                <w:rFonts w:hint="default" w:ascii="Times New Roman" w:hAnsi="Times New Roman" w:eastAsia="方正仿宋_GBK" w:cs="Times New Roman"/>
                <w:i w:val="0"/>
                <w:iCs w:val="0"/>
                <w:color w:val="000000"/>
                <w:kern w:val="0"/>
                <w:sz w:val="24"/>
                <w:szCs w:val="24"/>
                <w:u w:val="none"/>
                <w:lang w:val="en-US" w:eastAsia="zh-CN" w:bidi="ar"/>
              </w:rPr>
              <w:t>三季度间企业年金集合计划含权益类组合算术平均收益率由高到低的排名进行评分。第一名得10分，第二名得</w:t>
            </w:r>
            <w:r>
              <w:rPr>
                <w:rFonts w:hint="eastAsia" w:ascii="Times New Roman" w:hAnsi="Times New Roman" w:eastAsia="方正仿宋_GBK" w:cs="Times New Roman"/>
                <w:i w:val="0"/>
                <w:iCs w:val="0"/>
                <w:color w:val="000000"/>
                <w:kern w:val="0"/>
                <w:sz w:val="24"/>
                <w:szCs w:val="24"/>
                <w:u w:val="none"/>
                <w:lang w:val="en-US" w:eastAsia="zh-CN" w:bidi="ar"/>
              </w:rPr>
              <w:t>8</w:t>
            </w:r>
            <w:r>
              <w:rPr>
                <w:rFonts w:hint="default" w:ascii="Times New Roman" w:hAnsi="Times New Roman" w:eastAsia="方正仿宋_GBK" w:cs="Times New Roman"/>
                <w:i w:val="0"/>
                <w:iCs w:val="0"/>
                <w:color w:val="000000"/>
                <w:kern w:val="0"/>
                <w:sz w:val="24"/>
                <w:szCs w:val="24"/>
                <w:u w:val="none"/>
                <w:lang w:val="en-US" w:eastAsia="zh-CN" w:bidi="ar"/>
              </w:rPr>
              <w:t>分，依次递减</w:t>
            </w:r>
            <w:r>
              <w:rPr>
                <w:rFonts w:hint="eastAsia" w:ascii="Times New Roman" w:hAnsi="Times New Roman" w:eastAsia="方正仿宋_GBK" w:cs="Times New Roman"/>
                <w:i w:val="0"/>
                <w:iCs w:val="0"/>
                <w:color w:val="000000"/>
                <w:kern w:val="0"/>
                <w:sz w:val="24"/>
                <w:szCs w:val="24"/>
                <w:u w:val="none"/>
                <w:lang w:val="en-US" w:eastAsia="zh-CN" w:bidi="ar"/>
              </w:rPr>
              <w:t>2</w:t>
            </w:r>
            <w:r>
              <w:rPr>
                <w:rFonts w:hint="default" w:ascii="Times New Roman" w:hAnsi="Times New Roman" w:eastAsia="方正仿宋_GBK" w:cs="Times New Roman"/>
                <w:i w:val="0"/>
                <w:iCs w:val="0"/>
                <w:color w:val="000000"/>
                <w:kern w:val="0"/>
                <w:sz w:val="24"/>
                <w:szCs w:val="24"/>
                <w:u w:val="none"/>
                <w:lang w:val="en-US" w:eastAsia="zh-CN" w:bidi="ar"/>
              </w:rPr>
              <w:t>分。</w:t>
            </w:r>
          </w:p>
        </w:tc>
        <w:tc>
          <w:tcPr>
            <w:tcW w:w="843" w:type="dxa"/>
          </w:tcPr>
          <w:p>
            <w:pPr>
              <w:keepNext w:val="0"/>
              <w:keepLines w:val="0"/>
              <w:pageBreakBefore w:val="0"/>
              <w:kinsoku/>
              <w:wordWrap w:val="0"/>
              <w:overflowPunct/>
              <w:topLinePunct/>
              <w:autoSpaceDE/>
              <w:autoSpaceDN/>
              <w:bidi w:val="0"/>
              <w:adjustRightInd/>
              <w:snapToGrid/>
              <w:spacing w:line="300" w:lineRule="exact"/>
              <w:jc w:val="center"/>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b w:val="0"/>
                <w:bCs w:val="0"/>
                <w:color w:val="000000"/>
                <w:kern w:val="0"/>
                <w:sz w:val="24"/>
                <w:szCs w:val="24"/>
                <w:vertAlign w:val="baseline"/>
                <w:lang w:val="en-US" w:eastAsia="zh-CN"/>
              </w:rPr>
              <w:t>10分</w:t>
            </w:r>
          </w:p>
        </w:tc>
        <w:tc>
          <w:tcPr>
            <w:tcW w:w="748"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trPr>
        <w:tc>
          <w:tcPr>
            <w:tcW w:w="1135" w:type="dxa"/>
          </w:tcPr>
          <w:p>
            <w:pPr>
              <w:keepNext w:val="0"/>
              <w:keepLines w:val="0"/>
              <w:pageBreakBefore w:val="0"/>
              <w:widowControl/>
              <w:numPr>
                <w:ilvl w:val="-1"/>
                <w:numId w:val="0"/>
              </w:numPr>
              <w:shd w:val="clear" w:color="auto" w:fill="FFFFFF"/>
              <w:kinsoku/>
              <w:wordWrap w:val="0"/>
              <w:overflowPunct/>
              <w:topLinePunct/>
              <w:autoSpaceDE/>
              <w:autoSpaceDN/>
              <w:bidi w:val="0"/>
              <w:adjustRightInd/>
              <w:snapToGrid/>
              <w:spacing w:beforeAutospacing="0" w:afterAutospacing="0" w:line="300" w:lineRule="exact"/>
              <w:jc w:val="left"/>
              <w:textAlignment w:val="auto"/>
              <w:rPr>
                <w:rFonts w:hint="default" w:ascii="Times New Roman" w:hAnsi="Times New Roman" w:eastAsia="方正仿宋_GBK" w:cs="Times New Roman"/>
                <w:color w:val="000000"/>
                <w:kern w:val="0"/>
                <w:sz w:val="24"/>
                <w:szCs w:val="24"/>
                <w:u w:val="none"/>
                <w:lang w:val="en-US" w:eastAsia="zh-CN"/>
              </w:rPr>
            </w:pPr>
          </w:p>
          <w:p>
            <w:pPr>
              <w:keepNext w:val="0"/>
              <w:keepLines w:val="0"/>
              <w:pageBreakBefore w:val="0"/>
              <w:widowControl/>
              <w:numPr>
                <w:ilvl w:val="-1"/>
                <w:numId w:val="0"/>
              </w:numPr>
              <w:shd w:val="clear" w:color="auto" w:fill="FFFFFF"/>
              <w:kinsoku/>
              <w:wordWrap w:val="0"/>
              <w:overflowPunct/>
              <w:topLinePunct/>
              <w:autoSpaceDE/>
              <w:autoSpaceDN/>
              <w:bidi w:val="0"/>
              <w:adjustRightInd/>
              <w:snapToGrid/>
              <w:spacing w:beforeAutospacing="0" w:afterAutospacing="0" w:line="300" w:lineRule="exact"/>
              <w:jc w:val="left"/>
              <w:textAlignment w:val="auto"/>
              <w:rPr>
                <w:rFonts w:hint="default" w:ascii="Times New Roman" w:hAnsi="Times New Roman" w:eastAsia="方正仿宋_GBK" w:cs="Times New Roman"/>
                <w:color w:val="000000"/>
                <w:kern w:val="0"/>
                <w:sz w:val="24"/>
                <w:szCs w:val="24"/>
                <w:u w:val="none"/>
                <w:lang w:val="en-US" w:eastAsia="zh-CN"/>
              </w:rPr>
            </w:pPr>
          </w:p>
          <w:p>
            <w:pPr>
              <w:keepNext w:val="0"/>
              <w:keepLines w:val="0"/>
              <w:pageBreakBefore w:val="0"/>
              <w:widowControl/>
              <w:numPr>
                <w:ilvl w:val="-1"/>
                <w:numId w:val="0"/>
              </w:numPr>
              <w:shd w:val="clear" w:color="auto" w:fill="FFFFFF"/>
              <w:kinsoku/>
              <w:wordWrap w:val="0"/>
              <w:overflowPunct/>
              <w:topLinePunct/>
              <w:autoSpaceDE/>
              <w:autoSpaceDN/>
              <w:bidi w:val="0"/>
              <w:adjustRightInd/>
              <w:snapToGrid/>
              <w:spacing w:beforeAutospacing="0" w:afterAutospacing="0" w:line="300" w:lineRule="exact"/>
              <w:jc w:val="left"/>
              <w:textAlignment w:val="auto"/>
              <w:rPr>
                <w:rFonts w:hint="default" w:ascii="Times New Roman" w:hAnsi="Times New Roman" w:eastAsia="方正仿宋_GBK" w:cs="Times New Roman"/>
                <w:color w:val="000000"/>
                <w:kern w:val="0"/>
                <w:sz w:val="24"/>
                <w:szCs w:val="24"/>
                <w:u w:val="none"/>
                <w:lang w:val="en-US" w:eastAsia="zh-CN"/>
              </w:rPr>
            </w:pPr>
            <w:r>
              <w:rPr>
                <w:rFonts w:hint="default" w:ascii="Times New Roman" w:hAnsi="Times New Roman" w:eastAsia="方正仿宋_GBK" w:cs="Times New Roman"/>
                <w:color w:val="000000"/>
                <w:kern w:val="0"/>
                <w:sz w:val="24"/>
                <w:szCs w:val="24"/>
                <w:u w:val="none"/>
                <w:lang w:val="en-US" w:eastAsia="zh-CN"/>
              </w:rPr>
              <w:t>费用</w:t>
            </w:r>
          </w:p>
          <w:p>
            <w:pPr>
              <w:keepNext w:val="0"/>
              <w:keepLines w:val="0"/>
              <w:pageBreakBefore w:val="0"/>
              <w:widowControl/>
              <w:numPr>
                <w:ilvl w:val="-1"/>
                <w:numId w:val="0"/>
              </w:numPr>
              <w:shd w:val="clear" w:color="auto" w:fill="FFFFFF"/>
              <w:kinsoku/>
              <w:wordWrap w:val="0"/>
              <w:overflowPunct/>
              <w:topLinePunct/>
              <w:autoSpaceDE/>
              <w:autoSpaceDN/>
              <w:bidi w:val="0"/>
              <w:adjustRightInd/>
              <w:snapToGrid/>
              <w:spacing w:beforeAutospacing="0" w:afterAutospacing="0" w:line="300" w:lineRule="exact"/>
              <w:jc w:val="left"/>
              <w:textAlignment w:val="auto"/>
              <w:rPr>
                <w:rFonts w:hint="eastAsia" w:ascii="Times New Roman" w:hAnsi="Times New Roman" w:eastAsia="方正仿宋_GBK" w:cs="Times New Roman"/>
                <w:color w:val="000000"/>
                <w:kern w:val="0"/>
                <w:sz w:val="24"/>
                <w:szCs w:val="24"/>
                <w:u w:val="none"/>
                <w:lang w:val="en-US" w:eastAsia="zh-CN"/>
              </w:rPr>
            </w:pPr>
            <w:r>
              <w:rPr>
                <w:rFonts w:hint="default" w:ascii="Times New Roman" w:hAnsi="Times New Roman" w:eastAsia="方正仿宋_GBK" w:cs="Times New Roman"/>
                <w:color w:val="000000"/>
                <w:kern w:val="0"/>
                <w:sz w:val="24"/>
                <w:szCs w:val="24"/>
                <w:u w:val="none"/>
                <w:lang w:val="en-US" w:eastAsia="zh-CN"/>
              </w:rPr>
              <w:t>报价</w:t>
            </w:r>
            <w:r>
              <w:rPr>
                <w:rFonts w:hint="eastAsia" w:ascii="Times New Roman" w:hAnsi="Times New Roman" w:eastAsia="方正仿宋_GBK" w:cs="Times New Roman"/>
                <w:color w:val="000000"/>
                <w:kern w:val="0"/>
                <w:sz w:val="24"/>
                <w:szCs w:val="24"/>
                <w:u w:val="none"/>
                <w:lang w:val="en-US" w:eastAsia="zh-CN"/>
              </w:rPr>
              <w:t xml:space="preserve"> </w:t>
            </w:r>
          </w:p>
          <w:p>
            <w:pPr>
              <w:keepNext w:val="0"/>
              <w:keepLines w:val="0"/>
              <w:pageBreakBefore w:val="0"/>
              <w:widowControl/>
              <w:numPr>
                <w:ilvl w:val="-1"/>
                <w:numId w:val="0"/>
              </w:numPr>
              <w:shd w:val="clear" w:color="auto" w:fill="FFFFFF"/>
              <w:kinsoku/>
              <w:wordWrap w:val="0"/>
              <w:overflowPunct/>
              <w:topLinePunct/>
              <w:autoSpaceDE/>
              <w:autoSpaceDN/>
              <w:bidi w:val="0"/>
              <w:adjustRightInd/>
              <w:snapToGrid/>
              <w:spacing w:beforeAutospacing="0" w:afterAutospacing="0"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eastAsia" w:ascii="Times New Roman" w:hAnsi="Times New Roman" w:eastAsia="方正仿宋_GBK" w:cs="Times New Roman"/>
                <w:color w:val="000000"/>
                <w:kern w:val="0"/>
                <w:sz w:val="24"/>
                <w:szCs w:val="24"/>
                <w:u w:val="none"/>
                <w:lang w:val="en-US" w:eastAsia="zh-CN"/>
              </w:rPr>
              <w:t xml:space="preserve">（15分）   </w:t>
            </w:r>
          </w:p>
        </w:tc>
        <w:tc>
          <w:tcPr>
            <w:tcW w:w="1876"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b w:val="0"/>
                <w:bCs w:val="0"/>
                <w:color w:val="000000"/>
                <w:kern w:val="0"/>
                <w:sz w:val="24"/>
                <w:szCs w:val="24"/>
                <w:vertAlign w:val="baseline"/>
                <w:lang w:val="en-US" w:eastAsia="zh-CN"/>
              </w:rPr>
              <w:t>拟推荐的含权类集合计划对应综合费率</w:t>
            </w:r>
            <w:r>
              <w:rPr>
                <w:rFonts w:hint="eastAsia" w:ascii="Times New Roman" w:hAnsi="Times New Roman" w:eastAsia="方正仿宋_GBK" w:cs="Times New Roman"/>
                <w:b w:val="0"/>
                <w:bCs w:val="0"/>
                <w:color w:val="000000"/>
                <w:kern w:val="0"/>
                <w:sz w:val="24"/>
                <w:szCs w:val="24"/>
                <w:vertAlign w:val="baseline"/>
                <w:lang w:val="en-US" w:eastAsia="zh-CN"/>
              </w:rPr>
              <w:t>报价</w:t>
            </w:r>
          </w:p>
        </w:tc>
        <w:tc>
          <w:tcPr>
            <w:tcW w:w="4055"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b w:val="0"/>
                <w:bCs w:val="0"/>
                <w:color w:val="000000"/>
                <w:kern w:val="0"/>
                <w:sz w:val="24"/>
                <w:szCs w:val="24"/>
                <w:vertAlign w:val="baseline"/>
                <w:lang w:val="en-US" w:eastAsia="zh-CN"/>
              </w:rPr>
              <w:t>根据综合费率由低到高的排名进行评分，综合费率=受托管理费率+托管费率+投资管理费率，且应是</w:t>
            </w:r>
            <w:r>
              <w:rPr>
                <w:rFonts w:hint="eastAsia" w:ascii="Times New Roman" w:hAnsi="Times New Roman" w:eastAsia="方正仿宋_GBK" w:cs="Times New Roman"/>
                <w:b w:val="0"/>
                <w:bCs w:val="0"/>
                <w:color w:val="000000"/>
                <w:kern w:val="0"/>
                <w:sz w:val="24"/>
                <w:szCs w:val="24"/>
                <w:vertAlign w:val="baseline"/>
                <w:lang w:val="en-US" w:eastAsia="zh-CN"/>
              </w:rPr>
              <w:t>拟推荐</w:t>
            </w:r>
            <w:r>
              <w:rPr>
                <w:rFonts w:hint="default" w:ascii="Times New Roman" w:hAnsi="Times New Roman" w:eastAsia="方正仿宋_GBK" w:cs="Times New Roman"/>
                <w:b w:val="0"/>
                <w:bCs w:val="0"/>
                <w:color w:val="000000"/>
                <w:kern w:val="0"/>
                <w:sz w:val="24"/>
                <w:szCs w:val="24"/>
                <w:vertAlign w:val="baseline"/>
                <w:lang w:val="en-US" w:eastAsia="zh-CN"/>
              </w:rPr>
              <w:t>含权收益类集合计划所对应费率。</w:t>
            </w:r>
            <w:r>
              <w:rPr>
                <w:rFonts w:hint="eastAsia" w:ascii="Times New Roman" w:hAnsi="Times New Roman" w:eastAsia="方正仿宋_GBK" w:cs="Times New Roman"/>
                <w:b w:val="0"/>
                <w:bCs w:val="0"/>
                <w:color w:val="000000"/>
                <w:kern w:val="0"/>
                <w:sz w:val="24"/>
                <w:szCs w:val="24"/>
                <w:vertAlign w:val="baseline"/>
                <w:lang w:val="en-US" w:eastAsia="zh-CN"/>
              </w:rPr>
              <w:t>最低</w:t>
            </w:r>
            <w:r>
              <w:rPr>
                <w:rFonts w:hint="default" w:ascii="Times New Roman" w:hAnsi="Times New Roman" w:eastAsia="方正仿宋_GBK" w:cs="Times New Roman"/>
                <w:b w:val="0"/>
                <w:bCs w:val="0"/>
                <w:color w:val="000000"/>
                <w:kern w:val="0"/>
                <w:sz w:val="24"/>
                <w:szCs w:val="24"/>
                <w:vertAlign w:val="baseline"/>
                <w:lang w:val="en-US" w:eastAsia="zh-CN"/>
              </w:rPr>
              <w:t>得15分，第二名得13分，依次递减2分。</w:t>
            </w:r>
          </w:p>
        </w:tc>
        <w:tc>
          <w:tcPr>
            <w:tcW w:w="843" w:type="dxa"/>
          </w:tcPr>
          <w:p>
            <w:pPr>
              <w:keepNext w:val="0"/>
              <w:keepLines w:val="0"/>
              <w:pageBreakBefore w:val="0"/>
              <w:kinsoku/>
              <w:wordWrap w:val="0"/>
              <w:overflowPunct/>
              <w:topLinePunct/>
              <w:autoSpaceDE/>
              <w:autoSpaceDN/>
              <w:bidi w:val="0"/>
              <w:adjustRightInd/>
              <w:snapToGrid/>
              <w:spacing w:line="300" w:lineRule="exact"/>
              <w:jc w:val="center"/>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b w:val="0"/>
                <w:bCs w:val="0"/>
                <w:color w:val="000000"/>
                <w:kern w:val="0"/>
                <w:sz w:val="24"/>
                <w:szCs w:val="24"/>
                <w:vertAlign w:val="baseline"/>
                <w:lang w:val="en-US" w:eastAsia="zh-CN"/>
              </w:rPr>
              <w:t>15分</w:t>
            </w:r>
          </w:p>
        </w:tc>
        <w:tc>
          <w:tcPr>
            <w:tcW w:w="748"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135" w:type="dxa"/>
            <w:vMerge w:val="restart"/>
          </w:tcPr>
          <w:p>
            <w:pPr>
              <w:keepNext w:val="0"/>
              <w:keepLines w:val="0"/>
              <w:pageBreakBefore w:val="0"/>
              <w:widowControl/>
              <w:shd w:val="clear" w:color="auto" w:fill="FFFFFF"/>
              <w:kinsoku/>
              <w:wordWrap w:val="0"/>
              <w:overflowPunct/>
              <w:topLinePunct/>
              <w:autoSpaceDE/>
              <w:autoSpaceDN/>
              <w:bidi w:val="0"/>
              <w:adjustRightInd/>
              <w:snapToGrid/>
              <w:spacing w:beforeAutospacing="0" w:afterAutospacing="0" w:line="300" w:lineRule="exact"/>
              <w:jc w:val="left"/>
              <w:textAlignment w:val="auto"/>
              <w:rPr>
                <w:rFonts w:hint="default" w:ascii="Times New Roman" w:hAnsi="Times New Roman" w:eastAsia="方正仿宋_GBK" w:cs="Times New Roman"/>
                <w:color w:val="000000"/>
                <w:kern w:val="0"/>
                <w:sz w:val="24"/>
                <w:szCs w:val="24"/>
                <w:u w:val="none"/>
                <w:lang w:val="en-US" w:eastAsia="zh-CN"/>
              </w:rPr>
            </w:pPr>
          </w:p>
          <w:p>
            <w:pPr>
              <w:keepNext w:val="0"/>
              <w:keepLines w:val="0"/>
              <w:pageBreakBefore w:val="0"/>
              <w:widowControl/>
              <w:shd w:val="clear" w:color="auto" w:fill="FFFFFF"/>
              <w:kinsoku/>
              <w:wordWrap w:val="0"/>
              <w:overflowPunct/>
              <w:topLinePunct/>
              <w:autoSpaceDE/>
              <w:autoSpaceDN/>
              <w:bidi w:val="0"/>
              <w:adjustRightInd/>
              <w:snapToGrid/>
              <w:spacing w:beforeAutospacing="0" w:afterAutospacing="0" w:line="300" w:lineRule="exact"/>
              <w:jc w:val="left"/>
              <w:textAlignment w:val="auto"/>
              <w:rPr>
                <w:rFonts w:hint="default" w:ascii="Times New Roman" w:hAnsi="Times New Roman" w:eastAsia="方正仿宋_GBK" w:cs="Times New Roman"/>
                <w:color w:val="000000"/>
                <w:kern w:val="0"/>
                <w:sz w:val="24"/>
                <w:szCs w:val="24"/>
                <w:u w:val="none"/>
                <w:lang w:val="en-US" w:eastAsia="zh-CN"/>
              </w:rPr>
            </w:pPr>
          </w:p>
          <w:p>
            <w:pPr>
              <w:keepNext w:val="0"/>
              <w:keepLines w:val="0"/>
              <w:pageBreakBefore w:val="0"/>
              <w:widowControl/>
              <w:shd w:val="clear" w:color="auto" w:fill="FFFFFF"/>
              <w:kinsoku/>
              <w:wordWrap w:val="0"/>
              <w:overflowPunct/>
              <w:topLinePunct/>
              <w:autoSpaceDE/>
              <w:autoSpaceDN/>
              <w:bidi w:val="0"/>
              <w:adjustRightInd/>
              <w:snapToGrid/>
              <w:spacing w:beforeAutospacing="0" w:afterAutospacing="0" w:line="300" w:lineRule="exact"/>
              <w:jc w:val="left"/>
              <w:textAlignment w:val="auto"/>
              <w:rPr>
                <w:rFonts w:hint="default" w:ascii="Times New Roman" w:hAnsi="Times New Roman" w:eastAsia="方正仿宋_GBK" w:cs="Times New Roman"/>
                <w:color w:val="000000"/>
                <w:kern w:val="0"/>
                <w:sz w:val="24"/>
                <w:szCs w:val="24"/>
                <w:u w:val="none"/>
                <w:lang w:val="en-US" w:eastAsia="zh-CN"/>
              </w:rPr>
            </w:pPr>
          </w:p>
          <w:p>
            <w:pPr>
              <w:keepNext w:val="0"/>
              <w:keepLines w:val="0"/>
              <w:pageBreakBefore w:val="0"/>
              <w:widowControl/>
              <w:shd w:val="clear" w:color="auto" w:fill="FFFFFF"/>
              <w:kinsoku/>
              <w:wordWrap w:val="0"/>
              <w:overflowPunct/>
              <w:topLinePunct/>
              <w:autoSpaceDE/>
              <w:autoSpaceDN/>
              <w:bidi w:val="0"/>
              <w:adjustRightInd/>
              <w:snapToGrid/>
              <w:spacing w:beforeAutospacing="0" w:afterAutospacing="0" w:line="300" w:lineRule="exact"/>
              <w:jc w:val="left"/>
              <w:textAlignment w:val="auto"/>
              <w:rPr>
                <w:rFonts w:hint="default" w:ascii="Times New Roman" w:hAnsi="Times New Roman" w:eastAsia="方正仿宋_GBK" w:cs="Times New Roman"/>
                <w:color w:val="000000"/>
                <w:kern w:val="0"/>
                <w:sz w:val="24"/>
                <w:szCs w:val="24"/>
                <w:u w:val="none"/>
                <w:lang w:val="en-US" w:eastAsia="zh-CN"/>
              </w:rPr>
            </w:pPr>
          </w:p>
          <w:p>
            <w:pPr>
              <w:keepNext w:val="0"/>
              <w:keepLines w:val="0"/>
              <w:pageBreakBefore w:val="0"/>
              <w:widowControl/>
              <w:shd w:val="clear" w:color="auto" w:fill="FFFFFF"/>
              <w:kinsoku/>
              <w:wordWrap w:val="0"/>
              <w:overflowPunct/>
              <w:topLinePunct/>
              <w:autoSpaceDE/>
              <w:autoSpaceDN/>
              <w:bidi w:val="0"/>
              <w:adjustRightInd/>
              <w:snapToGrid/>
              <w:spacing w:beforeAutospacing="0" w:afterAutospacing="0" w:line="300" w:lineRule="exact"/>
              <w:jc w:val="left"/>
              <w:textAlignment w:val="auto"/>
              <w:rPr>
                <w:rFonts w:hint="default" w:ascii="Times New Roman" w:hAnsi="Times New Roman" w:eastAsia="方正仿宋_GBK" w:cs="Times New Roman"/>
                <w:color w:val="000000"/>
                <w:kern w:val="0"/>
                <w:sz w:val="24"/>
                <w:szCs w:val="24"/>
                <w:u w:val="none"/>
                <w:lang w:val="en-US" w:eastAsia="zh-CN"/>
              </w:rPr>
            </w:pPr>
          </w:p>
          <w:p>
            <w:pPr>
              <w:keepNext w:val="0"/>
              <w:keepLines w:val="0"/>
              <w:pageBreakBefore w:val="0"/>
              <w:widowControl/>
              <w:shd w:val="clear" w:color="auto" w:fill="FFFFFF"/>
              <w:kinsoku/>
              <w:wordWrap w:val="0"/>
              <w:overflowPunct/>
              <w:topLinePunct/>
              <w:autoSpaceDE/>
              <w:autoSpaceDN/>
              <w:bidi w:val="0"/>
              <w:adjustRightInd/>
              <w:snapToGrid/>
              <w:spacing w:beforeAutospacing="0" w:afterAutospacing="0" w:line="300" w:lineRule="exact"/>
              <w:jc w:val="left"/>
              <w:textAlignment w:val="auto"/>
              <w:rPr>
                <w:rFonts w:hint="default" w:ascii="Times New Roman" w:hAnsi="Times New Roman" w:eastAsia="方正仿宋_GBK" w:cs="Times New Roman"/>
                <w:color w:val="000000"/>
                <w:kern w:val="0"/>
                <w:sz w:val="24"/>
                <w:szCs w:val="24"/>
                <w:u w:val="none"/>
                <w:lang w:val="en-US" w:eastAsia="zh-CN"/>
              </w:rPr>
            </w:pPr>
          </w:p>
          <w:p>
            <w:pPr>
              <w:keepNext w:val="0"/>
              <w:keepLines w:val="0"/>
              <w:pageBreakBefore w:val="0"/>
              <w:widowControl/>
              <w:numPr>
                <w:ilvl w:val="-1"/>
                <w:numId w:val="0"/>
              </w:numPr>
              <w:shd w:val="clear" w:color="auto" w:fill="FFFFFF"/>
              <w:kinsoku/>
              <w:wordWrap w:val="0"/>
              <w:overflowPunct/>
              <w:topLinePunct/>
              <w:autoSpaceDE/>
              <w:autoSpaceDN/>
              <w:bidi w:val="0"/>
              <w:adjustRightInd/>
              <w:snapToGrid/>
              <w:spacing w:beforeAutospacing="0" w:afterAutospacing="0" w:line="300" w:lineRule="exact"/>
              <w:jc w:val="left"/>
              <w:textAlignment w:val="auto"/>
              <w:rPr>
                <w:rFonts w:hint="default" w:ascii="Times New Roman" w:hAnsi="Times New Roman" w:eastAsia="方正仿宋_GBK" w:cs="Times New Roman"/>
                <w:color w:val="000000"/>
                <w:kern w:val="0"/>
                <w:sz w:val="24"/>
                <w:szCs w:val="24"/>
                <w:u w:val="none"/>
                <w:lang w:val="en-US" w:eastAsia="zh-CN"/>
              </w:rPr>
            </w:pPr>
            <w:r>
              <w:rPr>
                <w:rFonts w:hint="default" w:ascii="Times New Roman" w:hAnsi="Times New Roman" w:eastAsia="方正仿宋_GBK" w:cs="Times New Roman"/>
                <w:color w:val="000000"/>
                <w:kern w:val="0"/>
                <w:sz w:val="24"/>
                <w:szCs w:val="24"/>
                <w:u w:val="none"/>
                <w:lang w:val="en-US" w:eastAsia="zh-CN"/>
              </w:rPr>
              <w:t>服务</w:t>
            </w:r>
          </w:p>
          <w:p>
            <w:pPr>
              <w:keepNext w:val="0"/>
              <w:keepLines w:val="0"/>
              <w:pageBreakBefore w:val="0"/>
              <w:widowControl/>
              <w:numPr>
                <w:ilvl w:val="-1"/>
                <w:numId w:val="0"/>
              </w:numPr>
              <w:shd w:val="clear" w:color="auto" w:fill="FFFFFF"/>
              <w:kinsoku/>
              <w:wordWrap w:val="0"/>
              <w:overflowPunct/>
              <w:topLinePunct/>
              <w:autoSpaceDE/>
              <w:autoSpaceDN/>
              <w:bidi w:val="0"/>
              <w:adjustRightInd/>
              <w:snapToGrid/>
              <w:spacing w:beforeAutospacing="0" w:afterAutospacing="0" w:line="300" w:lineRule="exact"/>
              <w:jc w:val="left"/>
              <w:textAlignment w:val="auto"/>
              <w:rPr>
                <w:rFonts w:hint="default" w:ascii="Times New Roman" w:hAnsi="Times New Roman" w:eastAsia="方正仿宋_GBK" w:cs="Times New Roman"/>
                <w:color w:val="000000"/>
                <w:kern w:val="0"/>
                <w:sz w:val="24"/>
                <w:szCs w:val="24"/>
                <w:u w:val="none"/>
                <w:lang w:val="en-US" w:eastAsia="zh-CN"/>
              </w:rPr>
            </w:pPr>
            <w:r>
              <w:rPr>
                <w:rFonts w:hint="default" w:ascii="Times New Roman" w:hAnsi="Times New Roman" w:eastAsia="方正仿宋_GBK" w:cs="Times New Roman"/>
                <w:color w:val="000000"/>
                <w:kern w:val="0"/>
                <w:sz w:val="24"/>
                <w:szCs w:val="24"/>
                <w:u w:val="none"/>
                <w:lang w:val="en-US" w:eastAsia="zh-CN"/>
              </w:rPr>
              <w:t>水平</w:t>
            </w:r>
          </w:p>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eastAsia" w:ascii="Times New Roman" w:hAnsi="Times New Roman" w:eastAsia="方正仿宋_GBK" w:cs="Times New Roman"/>
                <w:color w:val="000000"/>
                <w:kern w:val="0"/>
                <w:sz w:val="24"/>
                <w:szCs w:val="24"/>
                <w:u w:val="none"/>
                <w:lang w:val="en-US" w:eastAsia="zh-CN"/>
              </w:rPr>
              <w:t>（15分）</w:t>
            </w:r>
          </w:p>
        </w:tc>
        <w:tc>
          <w:tcPr>
            <w:tcW w:w="1876"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b w:val="0"/>
                <w:bCs w:val="0"/>
                <w:color w:val="000000"/>
                <w:kern w:val="0"/>
                <w:sz w:val="24"/>
                <w:szCs w:val="24"/>
                <w:vertAlign w:val="baseline"/>
                <w:lang w:val="en-US" w:eastAsia="zh-CN"/>
              </w:rPr>
              <w:t>风险控制能力</w:t>
            </w:r>
          </w:p>
        </w:tc>
        <w:tc>
          <w:tcPr>
            <w:tcW w:w="4055"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i w:val="0"/>
                <w:iCs w:val="0"/>
                <w:color w:val="000000"/>
                <w:kern w:val="0"/>
                <w:sz w:val="24"/>
                <w:szCs w:val="24"/>
                <w:u w:val="none"/>
                <w:lang w:val="en-US" w:eastAsia="zh-CN" w:bidi="ar"/>
              </w:rPr>
              <w:t>根据参选单位风险控制体系、风险管理指标和投资运营环节的风险控制措施等酌情评分。好3.5-5分，较好2-3.4分，一般2分以下。</w:t>
            </w:r>
          </w:p>
        </w:tc>
        <w:tc>
          <w:tcPr>
            <w:tcW w:w="843" w:type="dxa"/>
          </w:tcPr>
          <w:p>
            <w:pPr>
              <w:keepNext w:val="0"/>
              <w:keepLines w:val="0"/>
              <w:pageBreakBefore w:val="0"/>
              <w:kinsoku/>
              <w:wordWrap w:val="0"/>
              <w:overflowPunct/>
              <w:topLinePunct/>
              <w:autoSpaceDE/>
              <w:autoSpaceDN/>
              <w:bidi w:val="0"/>
              <w:adjustRightInd/>
              <w:snapToGrid/>
              <w:spacing w:line="300" w:lineRule="exact"/>
              <w:jc w:val="center"/>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b w:val="0"/>
                <w:bCs w:val="0"/>
                <w:color w:val="000000"/>
                <w:kern w:val="0"/>
                <w:sz w:val="24"/>
                <w:szCs w:val="24"/>
                <w:vertAlign w:val="baseline"/>
                <w:lang w:val="en-US" w:eastAsia="zh-CN"/>
              </w:rPr>
              <w:t>5分</w:t>
            </w:r>
          </w:p>
        </w:tc>
        <w:tc>
          <w:tcPr>
            <w:tcW w:w="748"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1135" w:type="dxa"/>
            <w:vMerge w:val="continue"/>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p>
        </w:tc>
        <w:tc>
          <w:tcPr>
            <w:tcW w:w="1876"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b w:val="0"/>
                <w:bCs w:val="0"/>
                <w:color w:val="000000"/>
                <w:kern w:val="0"/>
                <w:sz w:val="24"/>
                <w:szCs w:val="24"/>
                <w:vertAlign w:val="baseline"/>
                <w:lang w:val="en-US" w:eastAsia="zh-CN"/>
              </w:rPr>
              <w:t>专业服务能力</w:t>
            </w:r>
          </w:p>
        </w:tc>
        <w:tc>
          <w:tcPr>
            <w:tcW w:w="4055"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i w:val="0"/>
                <w:iCs w:val="0"/>
                <w:color w:val="000000"/>
                <w:kern w:val="0"/>
                <w:sz w:val="24"/>
                <w:szCs w:val="24"/>
                <w:u w:val="none"/>
                <w:lang w:val="en-US" w:eastAsia="zh-CN" w:bidi="ar"/>
              </w:rPr>
              <w:t>根据参选单位提供的贯穿方案设计、合同签署、运营缴费、后期服务等全流程的专业服务方案酌情评分。好3.5-5分，较好2-3.4分，一般2分以下。</w:t>
            </w:r>
          </w:p>
        </w:tc>
        <w:tc>
          <w:tcPr>
            <w:tcW w:w="843" w:type="dxa"/>
          </w:tcPr>
          <w:p>
            <w:pPr>
              <w:keepNext w:val="0"/>
              <w:keepLines w:val="0"/>
              <w:pageBreakBefore w:val="0"/>
              <w:kinsoku/>
              <w:wordWrap w:val="0"/>
              <w:overflowPunct/>
              <w:topLinePunct/>
              <w:autoSpaceDE/>
              <w:autoSpaceDN/>
              <w:bidi w:val="0"/>
              <w:adjustRightInd/>
              <w:snapToGrid/>
              <w:spacing w:line="300" w:lineRule="exact"/>
              <w:jc w:val="center"/>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b w:val="0"/>
                <w:bCs w:val="0"/>
                <w:color w:val="000000"/>
                <w:kern w:val="0"/>
                <w:sz w:val="24"/>
                <w:szCs w:val="24"/>
                <w:vertAlign w:val="baseline"/>
                <w:lang w:val="en-US" w:eastAsia="zh-CN"/>
              </w:rPr>
              <w:t>5分</w:t>
            </w:r>
          </w:p>
        </w:tc>
        <w:tc>
          <w:tcPr>
            <w:tcW w:w="748"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135" w:type="dxa"/>
            <w:vMerge w:val="continue"/>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p>
        </w:tc>
        <w:tc>
          <w:tcPr>
            <w:tcW w:w="1876"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i w:val="0"/>
                <w:iCs w:val="0"/>
                <w:color w:val="000000"/>
                <w:kern w:val="0"/>
                <w:sz w:val="24"/>
                <w:szCs w:val="24"/>
                <w:u w:val="none"/>
                <w:lang w:val="en-US" w:eastAsia="zh-CN" w:bidi="ar"/>
              </w:rPr>
              <w:t>受托管理系统</w:t>
            </w:r>
          </w:p>
        </w:tc>
        <w:tc>
          <w:tcPr>
            <w:tcW w:w="4055"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i w:val="0"/>
                <w:iCs w:val="0"/>
                <w:color w:val="000000"/>
                <w:kern w:val="0"/>
                <w:sz w:val="24"/>
                <w:szCs w:val="24"/>
                <w:u w:val="none"/>
                <w:lang w:val="en-US" w:eastAsia="zh-CN" w:bidi="ar"/>
              </w:rPr>
              <w:t>参选单位有专门的企业年金受托管理系统，根据受托管理系统功能的完善性酌情评分。好3.5-5分，较好2-3.4分，一般2分以下。</w:t>
            </w:r>
          </w:p>
        </w:tc>
        <w:tc>
          <w:tcPr>
            <w:tcW w:w="843" w:type="dxa"/>
          </w:tcPr>
          <w:p>
            <w:pPr>
              <w:keepNext w:val="0"/>
              <w:keepLines w:val="0"/>
              <w:pageBreakBefore w:val="0"/>
              <w:kinsoku/>
              <w:wordWrap w:val="0"/>
              <w:overflowPunct/>
              <w:topLinePunct/>
              <w:autoSpaceDE/>
              <w:autoSpaceDN/>
              <w:bidi w:val="0"/>
              <w:adjustRightInd/>
              <w:snapToGrid/>
              <w:spacing w:line="300" w:lineRule="exact"/>
              <w:jc w:val="center"/>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b w:val="0"/>
                <w:bCs w:val="0"/>
                <w:color w:val="000000"/>
                <w:kern w:val="0"/>
                <w:sz w:val="24"/>
                <w:szCs w:val="24"/>
                <w:vertAlign w:val="baseline"/>
                <w:lang w:val="en-US" w:eastAsia="zh-CN"/>
              </w:rPr>
              <w:t>5分</w:t>
            </w:r>
          </w:p>
        </w:tc>
        <w:tc>
          <w:tcPr>
            <w:tcW w:w="748"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135"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p>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r>
              <w:rPr>
                <w:rFonts w:hint="default" w:ascii="Times New Roman" w:hAnsi="Times New Roman" w:eastAsia="方正仿宋_GBK" w:cs="Times New Roman"/>
                <w:b w:val="0"/>
                <w:bCs w:val="0"/>
                <w:color w:val="000000"/>
                <w:kern w:val="0"/>
                <w:sz w:val="24"/>
                <w:szCs w:val="24"/>
                <w:vertAlign w:val="baseline"/>
                <w:lang w:val="en-US" w:eastAsia="zh-CN"/>
              </w:rPr>
              <w:t>总分</w:t>
            </w:r>
          </w:p>
        </w:tc>
        <w:tc>
          <w:tcPr>
            <w:tcW w:w="1876"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p>
        </w:tc>
        <w:tc>
          <w:tcPr>
            <w:tcW w:w="4055"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p>
        </w:tc>
        <w:tc>
          <w:tcPr>
            <w:tcW w:w="843" w:type="dxa"/>
          </w:tcPr>
          <w:p>
            <w:pPr>
              <w:keepNext w:val="0"/>
              <w:keepLines w:val="0"/>
              <w:pageBreakBefore w:val="0"/>
              <w:kinsoku/>
              <w:wordWrap w:val="0"/>
              <w:overflowPunct/>
              <w:topLinePunct/>
              <w:autoSpaceDE/>
              <w:autoSpaceDN/>
              <w:bidi w:val="0"/>
              <w:adjustRightInd/>
              <w:snapToGrid/>
              <w:spacing w:line="300" w:lineRule="exact"/>
              <w:jc w:val="center"/>
              <w:textAlignment w:val="auto"/>
              <w:rPr>
                <w:rFonts w:hint="default" w:ascii="Times New Roman" w:hAnsi="Times New Roman" w:eastAsia="方正仿宋_GBK" w:cs="Times New Roman"/>
                <w:b w:val="0"/>
                <w:bCs w:val="0"/>
                <w:color w:val="000000"/>
                <w:kern w:val="0"/>
                <w:sz w:val="24"/>
                <w:szCs w:val="24"/>
                <w:vertAlign w:val="baseline"/>
                <w:lang w:val="en-US" w:eastAsia="zh-CN"/>
              </w:rPr>
            </w:pPr>
          </w:p>
        </w:tc>
        <w:tc>
          <w:tcPr>
            <w:tcW w:w="748" w:type="dxa"/>
          </w:tcPr>
          <w:p>
            <w:pPr>
              <w:keepNext w:val="0"/>
              <w:keepLines w:val="0"/>
              <w:pageBreakBefore w:val="0"/>
              <w:kinsoku/>
              <w:wordWrap w:val="0"/>
              <w:overflowPunct/>
              <w:topLinePunct/>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000000"/>
                <w:kern w:val="0"/>
                <w:sz w:val="24"/>
                <w:szCs w:val="24"/>
                <w:vertAlign w:val="baseline"/>
                <w:lang w:val="en-US" w:eastAsia="zh-CN"/>
              </w:rPr>
            </w:pPr>
          </w:p>
        </w:tc>
      </w:tr>
    </w:tbl>
    <w:p>
      <w:pPr>
        <w:spacing w:line="360" w:lineRule="exact"/>
        <w:jc w:val="center"/>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i w:val="0"/>
          <w:iCs w:val="0"/>
          <w:color w:val="000000"/>
          <w:kern w:val="0"/>
          <w:sz w:val="24"/>
          <w:szCs w:val="24"/>
          <w:u w:val="none"/>
          <w:lang w:val="en-US" w:eastAsia="zh-CN" w:bidi="ar"/>
        </w:rPr>
        <w:t>备注：以上数据应来源于国家人社部网站定期发布的《全国企业年金业务数据摘要》 -**年集合计划管理情况表，与人社部网站数据不一致的取消参选资格。</w:t>
      </w:r>
      <w:r>
        <w:rPr>
          <w:rFonts w:hint="default" w:ascii="Times New Roman" w:hAnsi="Times New Roman" w:eastAsia="方正仿宋_GBK" w:cs="Times New Roman"/>
          <w:b w:val="0"/>
          <w:bCs w:val="0"/>
          <w:color w:val="000000"/>
          <w:kern w:val="0"/>
          <w:sz w:val="24"/>
          <w:szCs w:val="24"/>
          <w:u w:val="none"/>
          <w:lang w:val="en-US" w:eastAsia="zh-CN" w:bidi="ar"/>
        </w:rPr>
        <w:t xml:space="preserve"> </w:t>
      </w:r>
      <w:r>
        <w:rPr>
          <w:rFonts w:hint="default" w:ascii="Times New Roman" w:hAnsi="Times New Roman" w:eastAsia="方正仿宋_GBK" w:cs="Times New Roman"/>
          <w:b w:val="0"/>
          <w:bCs w:val="0"/>
          <w:color w:val="000000"/>
          <w:kern w:val="0"/>
          <w:sz w:val="24"/>
          <w:szCs w:val="24"/>
          <w:lang w:val="en-US" w:eastAsia="zh-CN"/>
        </w:rPr>
        <w:t xml:space="preserve">                      </w:t>
      </w:r>
    </w:p>
    <w:p>
      <w:pPr>
        <w:spacing w:line="360" w:lineRule="exact"/>
        <w:jc w:val="center"/>
        <w:rPr>
          <w:rFonts w:hint="default" w:ascii="Times New Roman" w:hAnsi="Times New Roman" w:eastAsia="方正仿宋_GBK" w:cs="Times New Roman"/>
          <w:b w:val="0"/>
          <w:bCs w:val="0"/>
          <w:color w:val="000000"/>
          <w:kern w:val="0"/>
          <w:sz w:val="24"/>
          <w:szCs w:val="24"/>
          <w:lang w:val="en-US" w:eastAsia="zh-CN"/>
        </w:rPr>
      </w:pPr>
    </w:p>
    <w:p>
      <w:pPr>
        <w:spacing w:line="360" w:lineRule="exact"/>
        <w:jc w:val="both"/>
        <w:rPr>
          <w:rFonts w:hint="default" w:ascii="Times New Roman" w:hAnsi="Times New Roman" w:eastAsia="方正仿宋_GBK" w:cs="Times New Roman"/>
          <w:b w:val="0"/>
          <w:bCs w:val="0"/>
          <w:color w:val="000000"/>
          <w:kern w:val="0"/>
          <w:sz w:val="24"/>
          <w:szCs w:val="24"/>
          <w:lang w:val="en-US" w:eastAsia="zh-CN"/>
        </w:rPr>
      </w:pPr>
    </w:p>
    <w:p>
      <w:pPr>
        <w:spacing w:line="360" w:lineRule="exact"/>
        <w:jc w:val="right"/>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32"/>
          <w:szCs w:val="32"/>
          <w:lang w:val="en-US" w:eastAsia="zh-CN"/>
        </w:rPr>
        <w:t xml:space="preserve">评分人：                   </w:t>
      </w:r>
      <w:bookmarkStart w:id="0" w:name="_GoBack"/>
      <w:bookmarkEnd w:id="0"/>
      <w:r>
        <w:rPr>
          <w:rFonts w:hint="default" w:ascii="Times New Roman" w:hAnsi="Times New Roman" w:eastAsia="方正仿宋_GBK" w:cs="Times New Roman"/>
          <w:b w:val="0"/>
          <w:bCs w:val="0"/>
          <w:color w:val="000000"/>
          <w:kern w:val="0"/>
          <w:sz w:val="32"/>
          <w:szCs w:val="32"/>
          <w:lang w:val="en-US" w:eastAsia="zh-CN"/>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jY2ExODk3OTc3ODAzMWJhYzM0MmYxNjkzYTgzN2UifQ=="/>
  </w:docVars>
  <w:rsids>
    <w:rsidRoot w:val="064C5B1D"/>
    <w:rsid w:val="064C5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2023-01-06T02:06:00Z</dcterms:created>
  <dc:creator>鱼</dc:creator>
  <cp:lastModifiedBy>鱼</cp:lastModifiedBy>
  <dcterms:modified xsi:type="dcterms:W3CDTF">2023-01-06T02:08:50Z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65E4C9E23BAB4C5EB91B078E6DEB0DF2</vt:lpwstr>
  </property>
</Properties>
</file>