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 w:val="0"/>
        <w:topLinePunct w:val="0"/>
        <w:autoSpaceDE/>
        <w:autoSpaceDN/>
        <w:bidi w:val="0"/>
        <w:adjustRightInd/>
        <w:snapToGrid/>
        <w:spacing w:before="0" w:beforeAutospacing="0" w:after="0" w:afterAutospacing="0" w:line="620" w:lineRule="exact"/>
        <w:ind w:right="0"/>
        <w:jc w:val="both"/>
        <w:textAlignment w:val="auto"/>
        <w:rPr>
          <w:rFonts w:hint="default" w:ascii="Times New Roman" w:hAnsi="Times New Roman" w:eastAsia="方正黑体_GBK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default" w:ascii="Times New Roman" w:hAnsi="Times New Roman" w:eastAsia="方正黑体_GBK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附件2</w:t>
      </w:r>
    </w:p>
    <w:p>
      <w:pPr>
        <w:pStyle w:val="4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 w:val="0"/>
        <w:topLinePunct w:val="0"/>
        <w:autoSpaceDE/>
        <w:autoSpaceDN/>
        <w:bidi w:val="0"/>
        <w:adjustRightInd/>
        <w:snapToGrid/>
        <w:spacing w:before="0" w:beforeAutospacing="0" w:after="0" w:afterAutospacing="0" w:line="620" w:lineRule="exact"/>
        <w:ind w:right="0"/>
        <w:jc w:val="both"/>
        <w:textAlignment w:val="auto"/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 w:val="0"/>
        <w:topLinePunct w:val="0"/>
        <w:autoSpaceDE/>
        <w:autoSpaceDN/>
        <w:bidi w:val="0"/>
        <w:adjustRightInd/>
        <w:snapToGrid/>
        <w:spacing w:before="0" w:beforeAutospacing="0" w:after="0" w:afterAutospacing="0" w:line="620" w:lineRule="exact"/>
        <w:ind w:right="0"/>
        <w:jc w:val="center"/>
        <w:textAlignment w:val="auto"/>
        <w:rPr>
          <w:rFonts w:hint="default" w:ascii="Times New Roman" w:hAnsi="Times New Roman" w:eastAsia="方正小标宋_GBK" w:cs="Times New Roman"/>
          <w:b w:val="0"/>
          <w:bCs w:val="0"/>
          <w:i w:val="0"/>
          <w:iCs w:val="0"/>
          <w:caps w:val="0"/>
          <w:color w:val="auto"/>
          <w:spacing w:val="0"/>
          <w:sz w:val="44"/>
          <w:szCs w:val="44"/>
          <w:shd w:val="clear" w:fill="FFFFFF"/>
          <w:lang w:val="en-US" w:eastAsia="zh-CN"/>
        </w:rPr>
      </w:pPr>
      <w:r>
        <w:rPr>
          <w:rFonts w:hint="default" w:ascii="Times New Roman" w:hAnsi="Times New Roman" w:eastAsia="方正小标宋_GBK" w:cs="Times New Roman"/>
          <w:b w:val="0"/>
          <w:bCs w:val="0"/>
          <w:i w:val="0"/>
          <w:iCs w:val="0"/>
          <w:caps w:val="0"/>
          <w:color w:val="auto"/>
          <w:spacing w:val="0"/>
          <w:sz w:val="44"/>
          <w:szCs w:val="44"/>
          <w:shd w:val="clear" w:fill="FFFFFF"/>
          <w:lang w:val="en-US" w:eastAsia="zh-CN"/>
        </w:rPr>
        <w:t>项目概况</w:t>
      </w:r>
    </w:p>
    <w:p>
      <w:pPr>
        <w:pStyle w:val="4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 w:val="0"/>
        <w:topLinePunct w:val="0"/>
        <w:autoSpaceDE/>
        <w:autoSpaceDN/>
        <w:bidi w:val="0"/>
        <w:adjustRightInd/>
        <w:snapToGrid/>
        <w:spacing w:before="0" w:beforeAutospacing="0" w:after="0" w:afterAutospacing="0" w:line="620" w:lineRule="exact"/>
        <w:ind w:right="0"/>
        <w:jc w:val="both"/>
        <w:textAlignment w:val="auto"/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 w:val="0"/>
        <w:topLinePunct w:val="0"/>
        <w:autoSpaceDE/>
        <w:autoSpaceDN/>
        <w:bidi w:val="0"/>
        <w:adjustRightInd/>
        <w:snapToGrid/>
        <w:spacing w:before="0" w:beforeAutospacing="0" w:after="0" w:afterAutospacing="0" w:line="62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综合体</w:t>
      </w: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项目</w:t>
      </w: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选址</w:t>
      </w:r>
      <w:r>
        <w:rPr>
          <w:rFonts w:hint="eastAsia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四川省</w:t>
      </w: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成都市天府新区万安街道麓山大道二段韩婆岭村。项目</w:t>
      </w:r>
      <w:r>
        <w:rPr>
          <w:rFonts w:hint="default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用地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"/>
        </w:rPr>
        <w:t>南侧靠近快速路麓山大道二段，由西至东为主要车流来向；</w:t>
      </w:r>
      <w:r>
        <w:rPr>
          <w:rFonts w:hint="eastAsia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"/>
        </w:rPr>
        <w:t>北侧靠近泉岭新村村委会；</w:t>
      </w:r>
      <w:r>
        <w:rPr>
          <w:rFonts w:hint="default" w:ascii="Times New Roman" w:hAnsi="Times New Roman" w:eastAsia="方正仿宋_GBK" w:cs="Times New Roman"/>
          <w:color w:val="auto"/>
          <w:kern w:val="0"/>
          <w:sz w:val="32"/>
          <w:szCs w:val="32"/>
          <w:lang w:val="en-US" w:eastAsia="zh-CN" w:bidi="ar"/>
        </w:rPr>
        <w:t>东侧靠近城市支路韩双路和住宅小区海昌天澜，韩双路开有海昌天澜次入口；中部有一规划城市支路（可根据后期管理需求调整为断头路）与西侧规划城市支路相连。</w:t>
      </w:r>
      <w:r>
        <w:rPr>
          <w:rFonts w:hint="eastAsia" w:ascii="Times New Roman" w:hAnsi="Times New Roman" w:eastAsia="方正仿宋_GBK" w:cs="Times New Roman"/>
          <w:b w:val="0"/>
          <w:bCs w:val="0"/>
          <w:color w:val="auto"/>
          <w:spacing w:val="0"/>
          <w:kern w:val="2"/>
          <w:sz w:val="32"/>
          <w:szCs w:val="32"/>
          <w:u w:val="none"/>
          <w:lang w:val="en-US" w:eastAsia="zh-CN" w:bidi="ar-SA"/>
        </w:rPr>
        <w:t>项目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spacing w:val="0"/>
          <w:kern w:val="2"/>
          <w:sz w:val="32"/>
          <w:szCs w:val="32"/>
          <w:u w:val="none"/>
          <w:lang w:val="en-US" w:eastAsia="zh-CN" w:bidi="ar-SA"/>
        </w:rPr>
        <w:t>占地面积</w:t>
      </w:r>
      <w:r>
        <w:rPr>
          <w:rFonts w:hint="eastAsia" w:ascii="Times New Roman" w:hAnsi="Times New Roman" w:eastAsia="方正仿宋_GBK" w:cs="Times New Roman"/>
          <w:b w:val="0"/>
          <w:bCs w:val="0"/>
          <w:color w:val="auto"/>
          <w:spacing w:val="0"/>
          <w:kern w:val="2"/>
          <w:sz w:val="32"/>
          <w:szCs w:val="32"/>
          <w:u w:val="none"/>
          <w:lang w:val="en-US" w:eastAsia="zh-CN" w:bidi="ar-SA"/>
        </w:rPr>
        <w:t>约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spacing w:val="0"/>
          <w:kern w:val="2"/>
          <w:sz w:val="32"/>
          <w:szCs w:val="32"/>
          <w:u w:val="none"/>
          <w:lang w:val="en-US" w:eastAsia="zh-CN" w:bidi="ar-SA"/>
        </w:rPr>
        <w:t>196.22亩，其中集体建设用地55.46亩、农用地140.76亩。</w:t>
      </w:r>
    </w:p>
    <w:p>
      <w:pPr>
        <w:pStyle w:val="4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 w:val="0"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center"/>
        <w:textAlignment w:val="auto"/>
        <w:rPr>
          <w:rFonts w:hint="eastAsia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Times New Roman" w:hAnsi="Times New Roman" w:eastAsia="方正仿宋_GBK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469255" cy="4102100"/>
            <wp:effectExtent l="0" t="0" r="1905" b="12700"/>
            <wp:docPr id="7" name="图片 7" descr="图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1_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9255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 w:val="0"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center"/>
        <w:textAlignment w:val="auto"/>
        <w:rPr>
          <w:rFonts w:hint="eastAsia" w:eastAsiaTheme="minorEastAsia"/>
          <w:color w:val="auto"/>
          <w:lang w:eastAsia="zh-CN"/>
        </w:rPr>
      </w:pPr>
      <w:r>
        <w:rPr>
          <w:color w:val="aut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2225675</wp:posOffset>
                </wp:positionH>
                <wp:positionV relativeFrom="paragraph">
                  <wp:posOffset>3216910</wp:posOffset>
                </wp:positionV>
                <wp:extent cx="996950" cy="414655"/>
                <wp:effectExtent l="0" t="0" r="0" b="0"/>
                <wp:wrapNone/>
                <wp:docPr id="11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414655"/>
                        </a:xfrm>
                        <a:prstGeom prst="rect">
                          <a:avLst/>
                        </a:prstGeom>
                        <a:effectLst/>
                      </wps:spPr>
                      <wps:txbx>
                        <w:txbxContent>
                          <w:p>
                            <w:pPr>
                              <w:pStyle w:val="4"/>
                              <w:kinsoku/>
                              <w:ind w:left="0"/>
                              <w:jc w:val="center"/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  <w:lang w:val="en-US" w:eastAsia="zh-CN"/>
                              </w:rPr>
                              <w:t>SITE</w:t>
                            </w:r>
                          </w:p>
                        </w:txbxContent>
                      </wps:txbx>
                      <wps:bodyPr wrap="square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6" o:spid="_x0000_s1026" o:spt="202" type="#_x0000_t202" style="position:absolute;left:0pt;margin-left:175.25pt;margin-top:253.3pt;height:32.65pt;width:78.5pt;z-index:251660288;v-text-anchor:middle;mso-width-relative:page;mso-height-relative:page;" filled="f" stroked="f" coordsize="21600,21600" o:gfxdata="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BA1lB2AAAAAsBAAAPAAAAAAAAAAEAIAAAACIAAABkcnMvZG93bnJldi54&#10;bWxQSwECFAAUAAAACACHTuJAPG1ESsEBAABxAwAADgAAAAAAAAABACAAAAAnAQAAZHJzL2Uyb0Rv&#10;Yy54bWxQSwUGAAAAAAYABgBZAQAAW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kinsoku/>
                        <w:ind w:left="0"/>
                        <w:jc w:val="center"/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28"/>
                          <w:lang w:val="en-US" w:eastAsia="zh-CN"/>
                        </w:rPr>
                        <w:t>SITE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color w:val="auto"/>
          <w:lang w:eastAsia="zh-CN"/>
        </w:rPr>
        <w:drawing>
          <wp:inline distT="0" distB="0" distL="114300" distR="114300">
            <wp:extent cx="5469255" cy="5852160"/>
            <wp:effectExtent l="0" t="0" r="1905" b="0"/>
            <wp:docPr id="9" name="图片 9" descr="图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2_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9255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 w:val="0"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根据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第三次全国国土调查工作分类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，本项目现状土地类型主要以耕地（旱地、水浇地等）、种植园用地（果园等）、林地（竹林地等）、草地（其他草地等）、水域（坑塘水面等）为主，其中有部分耕地为永久基本农田，蓝绿交织，原乡底蕴，生态本底条件优越。</w:t>
      </w:r>
    </w:p>
    <w:p>
      <w:pPr>
        <w:pStyle w:val="4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 w:val="0"/>
        <w:topLinePunct w:val="0"/>
        <w:autoSpaceDE/>
        <w:autoSpaceDN/>
        <w:bidi w:val="0"/>
        <w:adjustRightInd/>
        <w:snapToGrid/>
        <w:spacing w:before="0" w:beforeAutospacing="0" w:after="0" w:afterAutospacing="0" w:line="62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  <w:t>项目建设用地分为7个地块，农用地大部分已纳入流转范围，场地地形整体北高南低、两侧高中间低，最高点与最低地高差约13.12米。</w:t>
      </w:r>
    </w:p>
    <w:p>
      <w:pPr>
        <w:pStyle w:val="4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 w:val="0"/>
        <w:topLinePunct w:val="0"/>
        <w:autoSpaceDE/>
        <w:autoSpaceDN/>
        <w:bidi w:val="0"/>
        <w:adjustRightInd/>
        <w:snapToGrid/>
        <w:spacing w:before="0" w:beforeAutospacing="0" w:after="0" w:afterAutospacing="0" w:line="62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 w:val="0"/>
          <w:color w:val="auto"/>
          <w:kern w:val="0"/>
          <w:sz w:val="32"/>
          <w:szCs w:val="32"/>
          <w:lang w:val="en-US" w:eastAsia="zh-CN" w:bidi="ar"/>
        </w:rPr>
        <w:t>建筑高度</w:t>
      </w:r>
      <w:r>
        <w:rPr>
          <w:rFonts w:hint="eastAsia" w:ascii="Times New Roman" w:hAnsi="Times New Roman" w:eastAsia="方正仿宋_GBK" w:cs="Times New Roman"/>
          <w:b w:val="0"/>
          <w:bCs w:val="0"/>
          <w:color w:val="auto"/>
          <w:kern w:val="0"/>
          <w:sz w:val="32"/>
          <w:szCs w:val="32"/>
          <w:lang w:val="en-US" w:eastAsia="zh-CN" w:bidi="ar"/>
        </w:rPr>
        <w:t>、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kern w:val="0"/>
          <w:sz w:val="32"/>
          <w:szCs w:val="32"/>
          <w:lang w:val="en-US" w:eastAsia="zh-CN" w:bidi="ar"/>
        </w:rPr>
        <w:t>建筑间距及退距</w:t>
      </w:r>
      <w:r>
        <w:rPr>
          <w:rFonts w:hint="eastAsia" w:ascii="Times New Roman" w:hAnsi="Times New Roman" w:eastAsia="方正仿宋_GBK" w:cs="Times New Roman"/>
          <w:b w:val="0"/>
          <w:bCs w:val="0"/>
          <w:color w:val="auto"/>
          <w:kern w:val="0"/>
          <w:sz w:val="32"/>
          <w:szCs w:val="32"/>
          <w:lang w:val="en-US" w:eastAsia="zh-CN" w:bidi="ar"/>
        </w:rPr>
        <w:t>、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kern w:val="0"/>
          <w:sz w:val="32"/>
          <w:szCs w:val="32"/>
          <w:lang w:val="en-US" w:eastAsia="zh-CN" w:bidi="ar"/>
        </w:rPr>
        <w:t>坡屋顶建筑檐口等构件的垂直投影、地下</w:t>
      </w:r>
      <w:r>
        <w:rPr>
          <w:rFonts w:hint="eastAsia" w:ascii="Times New Roman" w:hAnsi="Times New Roman" w:eastAsia="方正仿宋_GBK" w:cs="Times New Roman"/>
          <w:b w:val="0"/>
          <w:bCs w:val="0"/>
          <w:color w:val="auto"/>
          <w:kern w:val="0"/>
          <w:sz w:val="32"/>
          <w:szCs w:val="32"/>
          <w:lang w:val="en-US" w:eastAsia="zh-CN" w:bidi="ar"/>
        </w:rPr>
        <w:t>（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kern w:val="0"/>
          <w:sz w:val="32"/>
          <w:szCs w:val="32"/>
          <w:lang w:val="en-US" w:eastAsia="zh-CN" w:bidi="ar"/>
        </w:rPr>
        <w:t>含半地下</w:t>
      </w:r>
      <w:r>
        <w:rPr>
          <w:rFonts w:hint="eastAsia" w:ascii="Times New Roman" w:hAnsi="Times New Roman" w:eastAsia="方正仿宋_GBK" w:cs="Times New Roman"/>
          <w:b w:val="0"/>
          <w:bCs w:val="0"/>
          <w:color w:val="auto"/>
          <w:kern w:val="0"/>
          <w:sz w:val="32"/>
          <w:szCs w:val="32"/>
          <w:lang w:val="en-US" w:eastAsia="zh-CN" w:bidi="ar"/>
        </w:rPr>
        <w:t>）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kern w:val="0"/>
          <w:sz w:val="32"/>
          <w:szCs w:val="32"/>
          <w:lang w:val="en-US" w:eastAsia="zh-CN" w:bidi="ar"/>
        </w:rPr>
        <w:t>建</w:t>
      </w:r>
      <w:r>
        <w:rPr>
          <w:rFonts w:hint="eastAsia" w:ascii="Times New Roman" w:hAnsi="Times New Roman" w:eastAsia="方正仿宋_GBK" w:cs="Times New Roman"/>
          <w:b w:val="0"/>
          <w:bCs w:val="0"/>
          <w:color w:val="auto"/>
          <w:kern w:val="0"/>
          <w:sz w:val="32"/>
          <w:szCs w:val="32"/>
          <w:lang w:val="en-US" w:eastAsia="zh-CN" w:bidi="ar"/>
        </w:rPr>
        <w:t>（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kern w:val="0"/>
          <w:sz w:val="32"/>
          <w:szCs w:val="32"/>
          <w:lang w:val="en-US" w:eastAsia="zh-CN" w:bidi="ar"/>
        </w:rPr>
        <w:t>构</w:t>
      </w:r>
      <w:r>
        <w:rPr>
          <w:rFonts w:hint="eastAsia" w:ascii="Times New Roman" w:hAnsi="Times New Roman" w:eastAsia="方正仿宋_GBK" w:cs="Times New Roman"/>
          <w:b w:val="0"/>
          <w:bCs w:val="0"/>
          <w:color w:val="auto"/>
          <w:kern w:val="0"/>
          <w:sz w:val="32"/>
          <w:szCs w:val="32"/>
          <w:lang w:val="en-US" w:eastAsia="zh-CN" w:bidi="ar"/>
        </w:rPr>
        <w:t>）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kern w:val="0"/>
          <w:sz w:val="32"/>
          <w:szCs w:val="32"/>
          <w:lang w:val="en-US" w:eastAsia="zh-CN" w:bidi="ar"/>
        </w:rPr>
        <w:t>筑物外墙</w:t>
      </w:r>
      <w:r>
        <w:rPr>
          <w:rFonts w:hint="eastAsia" w:ascii="Times New Roman" w:hAnsi="Times New Roman" w:eastAsia="方正仿宋_GBK" w:cs="Times New Roman"/>
          <w:b w:val="0"/>
          <w:bCs w:val="0"/>
          <w:color w:val="auto"/>
          <w:kern w:val="0"/>
          <w:sz w:val="32"/>
          <w:szCs w:val="32"/>
          <w:lang w:val="en-US" w:eastAsia="zh-CN" w:bidi="ar"/>
        </w:rPr>
        <w:t>、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kern w:val="0"/>
          <w:sz w:val="32"/>
          <w:szCs w:val="32"/>
          <w:lang w:val="en-US" w:eastAsia="zh-CN" w:bidi="ar"/>
        </w:rPr>
        <w:t>停车场配置标准及布局</w:t>
      </w:r>
      <w:r>
        <w:rPr>
          <w:rFonts w:hint="eastAsia" w:ascii="Times New Roman" w:hAnsi="Times New Roman" w:eastAsia="方正仿宋_GBK" w:cs="Times New Roman"/>
          <w:b w:val="0"/>
          <w:bCs w:val="0"/>
          <w:color w:val="auto"/>
          <w:kern w:val="0"/>
          <w:sz w:val="32"/>
          <w:szCs w:val="32"/>
          <w:lang w:val="en-US" w:eastAsia="zh-CN" w:bidi="ar"/>
        </w:rPr>
        <w:t>等均应符合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kern w:val="0"/>
          <w:sz w:val="32"/>
          <w:szCs w:val="32"/>
          <w:lang w:val="en-US" w:eastAsia="zh-CN" w:bidi="ar"/>
        </w:rPr>
        <w:t>《成都市城乡融合发展片区建设项目规划管理技术规定及导则</w:t>
      </w:r>
      <w:r>
        <w:rPr>
          <w:rFonts w:hint="eastAsia" w:ascii="Times New Roman" w:hAnsi="Times New Roman" w:eastAsia="方正仿宋_GBK" w:cs="Times New Roman"/>
          <w:b w:val="0"/>
          <w:bCs w:val="0"/>
          <w:color w:val="auto"/>
          <w:kern w:val="0"/>
          <w:sz w:val="32"/>
          <w:szCs w:val="32"/>
          <w:lang w:val="en-US" w:eastAsia="zh-CN" w:bidi="ar"/>
        </w:rPr>
        <w:t>（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kern w:val="0"/>
          <w:sz w:val="32"/>
          <w:szCs w:val="32"/>
          <w:lang w:val="en-US" w:eastAsia="zh-CN" w:bidi="ar"/>
        </w:rPr>
        <w:t>试行</w:t>
      </w:r>
      <w:r>
        <w:rPr>
          <w:rFonts w:hint="eastAsia" w:ascii="Times New Roman" w:hAnsi="Times New Roman" w:eastAsia="方正仿宋_GBK" w:cs="Times New Roman"/>
          <w:b w:val="0"/>
          <w:bCs w:val="0"/>
          <w:color w:val="auto"/>
          <w:kern w:val="0"/>
          <w:sz w:val="32"/>
          <w:szCs w:val="32"/>
          <w:lang w:val="en-US" w:eastAsia="zh-CN" w:bidi="ar"/>
        </w:rPr>
        <w:t>）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kern w:val="0"/>
          <w:sz w:val="32"/>
          <w:szCs w:val="32"/>
          <w:lang w:val="en-US" w:eastAsia="zh-CN" w:bidi="ar"/>
        </w:rPr>
        <w:t>》</w:t>
      </w:r>
      <w:r>
        <w:rPr>
          <w:rFonts w:hint="eastAsia" w:ascii="Times New Roman" w:hAnsi="Times New Roman" w:eastAsia="方正仿宋_GBK" w:cs="Times New Roman"/>
          <w:b w:val="0"/>
          <w:bCs w:val="0"/>
          <w:color w:val="auto"/>
          <w:kern w:val="0"/>
          <w:sz w:val="32"/>
          <w:szCs w:val="32"/>
          <w:lang w:val="en-US" w:eastAsia="zh-CN" w:bidi="ar"/>
        </w:rPr>
        <w:t>的规定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kern w:val="0"/>
          <w:sz w:val="32"/>
          <w:szCs w:val="32"/>
          <w:lang w:val="en-US" w:eastAsia="zh-CN" w:bidi="ar"/>
        </w:rPr>
        <w:t>。</w:t>
      </w:r>
    </w:p>
    <w:p>
      <w:pPr>
        <w:pStyle w:val="4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 w:val="0"/>
        <w:topLinePunct w:val="0"/>
        <w:autoSpaceDE/>
        <w:autoSpaceDN/>
        <w:bidi w:val="0"/>
        <w:adjustRightInd/>
        <w:snapToGrid/>
        <w:spacing w:before="0" w:beforeAutospacing="0" w:after="0" w:afterAutospacing="0" w:line="62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  <w:t>本建设项目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  <w:t>工程估算投资约5亿元。</w:t>
      </w:r>
    </w:p>
    <w:p>
      <w:pPr>
        <w:pStyle w:val="4"/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 w:val="0"/>
        <w:topLinePunct w:val="0"/>
        <w:autoSpaceDE/>
        <w:autoSpaceDN/>
        <w:bidi w:val="0"/>
        <w:adjustRightInd/>
        <w:snapToGrid/>
        <w:spacing w:before="0" w:beforeAutospacing="0" w:after="0" w:afterAutospacing="0" w:line="620" w:lineRule="exact"/>
        <w:ind w:right="0"/>
        <w:jc w:val="center"/>
        <w:textAlignment w:val="auto"/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color w:val="auto"/>
          <w:sz w:val="32"/>
          <w:szCs w:val="32"/>
          <w:lang w:val="en-US" w:eastAsia="zh-CN"/>
        </w:rPr>
        <w:t>项目建设用地指标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7"/>
        <w:gridCol w:w="1767"/>
        <w:gridCol w:w="1767"/>
        <w:gridCol w:w="16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7" w:type="dxa"/>
            <w:vMerge w:val="restart"/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8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8"/>
                <w:szCs w:val="28"/>
                <w:lang w:val="en-US" w:eastAsia="zh-CN" w:bidi="ar"/>
              </w:rPr>
              <w:t>序号</w:t>
            </w:r>
          </w:p>
        </w:tc>
        <w:tc>
          <w:tcPr>
            <w:tcW w:w="3534" w:type="dxa"/>
            <w:gridSpan w:val="2"/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8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8"/>
                <w:szCs w:val="28"/>
                <w:lang w:val="en-US" w:eastAsia="zh-CN" w:bidi="ar"/>
              </w:rPr>
              <w:t>用地面积</w:t>
            </w:r>
          </w:p>
        </w:tc>
        <w:tc>
          <w:tcPr>
            <w:tcW w:w="1657" w:type="dxa"/>
            <w:vMerge w:val="restart"/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8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8"/>
                <w:szCs w:val="28"/>
                <w:lang w:val="en-US" w:eastAsia="zh-CN" w:bidi="ar"/>
              </w:rPr>
              <w:t>容积率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7" w:type="dxa"/>
            <w:vMerge w:val="continue"/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8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8"/>
                <w:szCs w:val="28"/>
                <w:lang w:val="en-US" w:eastAsia="zh-CN" w:bidi="ar"/>
              </w:rPr>
            </w:pPr>
          </w:p>
        </w:tc>
        <w:tc>
          <w:tcPr>
            <w:tcW w:w="1767" w:type="dxa"/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8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kern w:val="0"/>
                <w:sz w:val="28"/>
                <w:szCs w:val="28"/>
                <w:lang w:val="en-US" w:eastAsia="zh-CN" w:bidi="ar"/>
              </w:rPr>
              <w:t>亩</w:t>
            </w:r>
          </w:p>
        </w:tc>
        <w:tc>
          <w:tcPr>
            <w:tcW w:w="1767" w:type="dxa"/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8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kern w:val="0"/>
                <w:sz w:val="28"/>
                <w:szCs w:val="28"/>
                <w:lang w:val="en-US" w:eastAsia="zh-CN" w:bidi="ar"/>
              </w:rPr>
              <w:t>平方米</w:t>
            </w:r>
          </w:p>
        </w:tc>
        <w:tc>
          <w:tcPr>
            <w:tcW w:w="1657" w:type="dxa"/>
            <w:vMerge w:val="continue"/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8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8"/>
                <w:szCs w:val="28"/>
                <w:lang w:val="en-US" w:eastAsia="zh-CN" w:bidi="ar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7" w:type="dxa"/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8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</w:rPr>
              <w:t>1</w:t>
            </w:r>
          </w:p>
        </w:tc>
        <w:tc>
          <w:tcPr>
            <w:tcW w:w="1767" w:type="dxa"/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80" w:lineRule="exact"/>
              <w:ind w:left="0" w:leftChars="0" w:right="0" w:rightChars="0"/>
              <w:jc w:val="right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sz w:val="28"/>
                <w:szCs w:val="28"/>
                <w:lang w:val="en-US" w:eastAsia="zh-CN"/>
              </w:rPr>
              <w:t>8.8658</w:t>
            </w:r>
          </w:p>
        </w:tc>
        <w:tc>
          <w:tcPr>
            <w:tcW w:w="1767" w:type="dxa"/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80" w:lineRule="exact"/>
              <w:ind w:left="0" w:leftChars="0" w:right="0" w:rightChars="0"/>
              <w:jc w:val="right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</w:rPr>
              <w:t>5910</w:t>
            </w:r>
            <w:r>
              <w:rPr>
                <w:rFonts w:hint="eastAsia" w:ascii="Times New Roman" w:hAnsi="Times New Roman" w:eastAsia="方正仿宋_GBK" w:cs="Times New Roman"/>
                <w:color w:val="auto"/>
                <w:sz w:val="28"/>
                <w:szCs w:val="28"/>
                <w:lang w:val="en-US" w:eastAsia="zh-CN"/>
              </w:rPr>
              <w:t>.53</w:t>
            </w:r>
          </w:p>
        </w:tc>
        <w:tc>
          <w:tcPr>
            <w:tcW w:w="1657" w:type="dxa"/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80" w:lineRule="exact"/>
              <w:ind w:left="0" w:leftChars="0" w:right="0" w:rightChars="0"/>
              <w:jc w:val="right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</w:rPr>
              <w:t>1.50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7" w:type="dxa"/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8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</w:rPr>
              <w:t>2</w:t>
            </w:r>
          </w:p>
        </w:tc>
        <w:tc>
          <w:tcPr>
            <w:tcW w:w="1767" w:type="dxa"/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80" w:lineRule="exact"/>
              <w:ind w:left="0" w:leftChars="0" w:right="0" w:rightChars="0"/>
              <w:jc w:val="right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sz w:val="28"/>
                <w:szCs w:val="28"/>
                <w:lang w:val="en-US" w:eastAsia="zh-CN"/>
              </w:rPr>
              <w:t>8.3237</w:t>
            </w:r>
          </w:p>
        </w:tc>
        <w:tc>
          <w:tcPr>
            <w:tcW w:w="1767" w:type="dxa"/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80" w:lineRule="exact"/>
              <w:ind w:left="0" w:leftChars="0" w:right="0" w:rightChars="0"/>
              <w:jc w:val="right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</w:rPr>
              <w:t>5549</w:t>
            </w:r>
            <w:r>
              <w:rPr>
                <w:rFonts w:hint="eastAsia" w:ascii="Times New Roman" w:hAnsi="Times New Roman" w:eastAsia="方正仿宋_GBK" w:cs="Times New Roman"/>
                <w:color w:val="auto"/>
                <w:sz w:val="28"/>
                <w:szCs w:val="28"/>
                <w:lang w:val="en-US" w:eastAsia="zh-CN"/>
              </w:rPr>
              <w:t>.11</w:t>
            </w:r>
          </w:p>
        </w:tc>
        <w:tc>
          <w:tcPr>
            <w:tcW w:w="1657" w:type="dxa"/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80" w:lineRule="exact"/>
              <w:ind w:left="0" w:leftChars="0" w:right="0" w:rightChars="0"/>
              <w:jc w:val="right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</w:rPr>
              <w:t>1.50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7" w:type="dxa"/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8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</w:rPr>
              <w:t>3</w:t>
            </w:r>
          </w:p>
        </w:tc>
        <w:tc>
          <w:tcPr>
            <w:tcW w:w="1767" w:type="dxa"/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80" w:lineRule="exact"/>
              <w:ind w:left="0" w:leftChars="0" w:right="0" w:rightChars="0"/>
              <w:jc w:val="right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sz w:val="28"/>
                <w:szCs w:val="28"/>
                <w:lang w:val="en-US" w:eastAsia="zh-CN"/>
              </w:rPr>
              <w:t>9.0115</w:t>
            </w:r>
          </w:p>
        </w:tc>
        <w:tc>
          <w:tcPr>
            <w:tcW w:w="1767" w:type="dxa"/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80" w:lineRule="exact"/>
              <w:ind w:left="0" w:leftChars="0" w:right="0" w:rightChars="0"/>
              <w:jc w:val="right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</w:rPr>
              <w:t>6007</w:t>
            </w:r>
            <w:r>
              <w:rPr>
                <w:rFonts w:hint="eastAsia" w:ascii="Times New Roman" w:hAnsi="Times New Roman" w:eastAsia="方正仿宋_GBK" w:cs="Times New Roman"/>
                <w:color w:val="auto"/>
                <w:sz w:val="28"/>
                <w:szCs w:val="28"/>
                <w:lang w:val="en-US" w:eastAsia="zh-CN"/>
              </w:rPr>
              <w:t>.68</w:t>
            </w:r>
          </w:p>
        </w:tc>
        <w:tc>
          <w:tcPr>
            <w:tcW w:w="1657" w:type="dxa"/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80" w:lineRule="exact"/>
              <w:ind w:left="0" w:leftChars="0" w:right="0" w:rightChars="0"/>
              <w:jc w:val="right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</w:rPr>
              <w:t>1.80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7" w:type="dxa"/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8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</w:rPr>
              <w:t>4</w:t>
            </w:r>
          </w:p>
        </w:tc>
        <w:tc>
          <w:tcPr>
            <w:tcW w:w="1767" w:type="dxa"/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80" w:lineRule="exact"/>
              <w:ind w:left="0" w:leftChars="0" w:right="0" w:rightChars="0"/>
              <w:jc w:val="right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sz w:val="28"/>
                <w:szCs w:val="28"/>
                <w:lang w:val="en-US" w:eastAsia="zh-CN"/>
              </w:rPr>
              <w:t>4.2554</w:t>
            </w:r>
          </w:p>
        </w:tc>
        <w:tc>
          <w:tcPr>
            <w:tcW w:w="1767" w:type="dxa"/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80" w:lineRule="exact"/>
              <w:ind w:left="0" w:leftChars="0" w:right="0" w:rightChars="0"/>
              <w:jc w:val="right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</w:rPr>
              <w:t>283</w:t>
            </w:r>
            <w:r>
              <w:rPr>
                <w:rFonts w:hint="eastAsia" w:ascii="Times New Roman" w:hAnsi="Times New Roman" w:eastAsia="方正仿宋_GBK" w:cs="Times New Roman"/>
                <w:color w:val="auto"/>
                <w:sz w:val="28"/>
                <w:szCs w:val="28"/>
                <w:lang w:val="en-US" w:eastAsia="zh-CN"/>
              </w:rPr>
              <w:t>6.92</w:t>
            </w:r>
          </w:p>
        </w:tc>
        <w:tc>
          <w:tcPr>
            <w:tcW w:w="1657" w:type="dxa"/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80" w:lineRule="exact"/>
              <w:ind w:left="0" w:leftChars="0" w:right="0" w:rightChars="0"/>
              <w:jc w:val="right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</w:rPr>
              <w:t>1.50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7" w:type="dxa"/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8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</w:rPr>
              <w:t>5</w:t>
            </w:r>
          </w:p>
        </w:tc>
        <w:tc>
          <w:tcPr>
            <w:tcW w:w="1767" w:type="dxa"/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80" w:lineRule="exact"/>
              <w:ind w:left="0" w:leftChars="0" w:right="0" w:rightChars="0"/>
              <w:jc w:val="right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sz w:val="28"/>
                <w:szCs w:val="28"/>
                <w:lang w:val="en-US" w:eastAsia="zh-CN"/>
              </w:rPr>
              <w:t>7.7831</w:t>
            </w:r>
          </w:p>
        </w:tc>
        <w:tc>
          <w:tcPr>
            <w:tcW w:w="1767" w:type="dxa"/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80" w:lineRule="exact"/>
              <w:ind w:left="0" w:leftChars="0" w:right="0" w:rightChars="0"/>
              <w:jc w:val="right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</w:rPr>
              <w:t>518</w:t>
            </w:r>
            <w:r>
              <w:rPr>
                <w:rFonts w:hint="eastAsia" w:ascii="Times New Roman" w:hAnsi="Times New Roman" w:eastAsia="方正仿宋_GBK" w:cs="Times New Roman"/>
                <w:color w:val="auto"/>
                <w:sz w:val="28"/>
                <w:szCs w:val="28"/>
                <w:lang w:val="en-US" w:eastAsia="zh-CN"/>
              </w:rPr>
              <w:t>8.71</w:t>
            </w:r>
          </w:p>
        </w:tc>
        <w:tc>
          <w:tcPr>
            <w:tcW w:w="1657" w:type="dxa"/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80" w:lineRule="exact"/>
              <w:ind w:left="0" w:leftChars="0" w:right="0" w:rightChars="0"/>
              <w:jc w:val="right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</w:rPr>
              <w:t>1.50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7" w:type="dxa"/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8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</w:rPr>
              <w:t>6</w:t>
            </w:r>
          </w:p>
        </w:tc>
        <w:tc>
          <w:tcPr>
            <w:tcW w:w="1767" w:type="dxa"/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80" w:lineRule="exact"/>
              <w:ind w:left="0" w:leftChars="0" w:right="0" w:rightChars="0"/>
              <w:jc w:val="right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sz w:val="28"/>
                <w:szCs w:val="28"/>
                <w:lang w:val="en-US" w:eastAsia="zh-CN"/>
              </w:rPr>
              <w:t>8.9761</w:t>
            </w:r>
          </w:p>
        </w:tc>
        <w:tc>
          <w:tcPr>
            <w:tcW w:w="1767" w:type="dxa"/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80" w:lineRule="exact"/>
              <w:ind w:left="0" w:leftChars="0" w:right="0" w:rightChars="0"/>
              <w:jc w:val="right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</w:rPr>
              <w:t>5984</w:t>
            </w:r>
            <w:r>
              <w:rPr>
                <w:rFonts w:hint="eastAsia" w:ascii="Times New Roman" w:hAnsi="Times New Roman" w:eastAsia="方正仿宋_GBK" w:cs="Times New Roman"/>
                <w:color w:val="auto"/>
                <w:sz w:val="28"/>
                <w:szCs w:val="28"/>
                <w:lang w:val="en-US" w:eastAsia="zh-CN"/>
              </w:rPr>
              <w:t>.09</w:t>
            </w:r>
          </w:p>
        </w:tc>
        <w:tc>
          <w:tcPr>
            <w:tcW w:w="1657" w:type="dxa"/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80" w:lineRule="exact"/>
              <w:ind w:left="0" w:leftChars="0" w:right="0" w:rightChars="0"/>
              <w:jc w:val="right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</w:rPr>
              <w:t>1.80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7" w:type="dxa"/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80" w:lineRule="exact"/>
              <w:ind w:left="0" w:leftChars="0"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</w:rPr>
              <w:t>7</w:t>
            </w:r>
          </w:p>
        </w:tc>
        <w:tc>
          <w:tcPr>
            <w:tcW w:w="1767" w:type="dxa"/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80" w:lineRule="exact"/>
              <w:ind w:left="0" w:leftChars="0" w:right="0" w:rightChars="0"/>
              <w:jc w:val="right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sz w:val="28"/>
                <w:szCs w:val="28"/>
                <w:lang w:val="en-US" w:eastAsia="zh-CN"/>
              </w:rPr>
              <w:t>8.2414</w:t>
            </w:r>
          </w:p>
        </w:tc>
        <w:tc>
          <w:tcPr>
            <w:tcW w:w="1767" w:type="dxa"/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80" w:lineRule="exact"/>
              <w:ind w:left="0" w:leftChars="0" w:right="0" w:rightChars="0"/>
              <w:jc w:val="right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Times New Roman" w:hAnsi="Times New Roman" w:eastAsia="方正仿宋_GBK" w:cs="Times New Roman"/>
                <w:color w:val="auto"/>
                <w:sz w:val="28"/>
                <w:szCs w:val="28"/>
                <w:lang w:val="en-US" w:eastAsia="zh-CN"/>
              </w:rPr>
              <w:t>5494.26</w:t>
            </w:r>
          </w:p>
        </w:tc>
        <w:tc>
          <w:tcPr>
            <w:tcW w:w="1657" w:type="dxa"/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80" w:lineRule="exact"/>
              <w:ind w:left="0" w:leftChars="0" w:right="0" w:rightChars="0"/>
              <w:jc w:val="right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</w:rPr>
              <w:t>1.80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7" w:type="dxa"/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80" w:lineRule="exact"/>
              <w:ind w:left="0" w:leftChars="0" w:right="0" w:rightChars="0"/>
              <w:jc w:val="center"/>
              <w:textAlignment w:val="auto"/>
              <w:rPr>
                <w:rFonts w:hint="eastAsia" w:ascii="Times New Roman" w:hAnsi="Times New Roman" w:eastAsia="方正仿宋_GBK" w:cs="Times New Roman"/>
                <w:b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/>
                <w:bCs/>
                <w:color w:val="auto"/>
                <w:sz w:val="28"/>
                <w:szCs w:val="28"/>
                <w:lang w:val="en-US" w:eastAsia="zh-CN"/>
              </w:rPr>
              <w:t>合计</w:t>
            </w:r>
          </w:p>
        </w:tc>
        <w:tc>
          <w:tcPr>
            <w:tcW w:w="1767" w:type="dxa"/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80" w:lineRule="exact"/>
              <w:ind w:left="0" w:leftChars="0" w:right="0" w:rightChars="0"/>
              <w:jc w:val="right"/>
              <w:textAlignment w:val="auto"/>
              <w:rPr>
                <w:rFonts w:hint="default" w:ascii="Times New Roman" w:hAnsi="Times New Roman" w:eastAsia="方正仿宋_GBK" w:cs="Times New Roman"/>
                <w:b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color w:val="auto"/>
                <w:sz w:val="28"/>
                <w:szCs w:val="28"/>
                <w:lang w:eastAsia="zh-CN"/>
              </w:rPr>
              <w:fldChar w:fldCharType="begin"/>
            </w:r>
            <w:r>
              <w:rPr>
                <w:rFonts w:hint="default" w:ascii="Times New Roman" w:hAnsi="Times New Roman" w:eastAsia="方正仿宋_GBK" w:cs="Times New Roman"/>
                <w:b/>
                <w:bCs/>
                <w:color w:val="auto"/>
                <w:sz w:val="28"/>
                <w:szCs w:val="28"/>
                <w:lang w:eastAsia="zh-CN"/>
              </w:rPr>
              <w:instrText xml:space="preserve"> =SUM(ABOVE) \* MERGEFORMAT </w:instrText>
            </w:r>
            <w:r>
              <w:rPr>
                <w:rFonts w:hint="default" w:ascii="Times New Roman" w:hAnsi="Times New Roman" w:eastAsia="方正仿宋_GBK" w:cs="Times New Roman"/>
                <w:b/>
                <w:bCs/>
                <w:color w:val="auto"/>
                <w:sz w:val="28"/>
                <w:szCs w:val="28"/>
                <w:lang w:eastAsia="zh-CN"/>
              </w:rPr>
              <w:fldChar w:fldCharType="separate"/>
            </w:r>
            <w:r>
              <w:rPr>
                <w:rFonts w:hint="default" w:ascii="Times New Roman" w:hAnsi="Times New Roman" w:eastAsia="方正仿宋_GBK" w:cs="Times New Roman"/>
                <w:b/>
                <w:bCs/>
                <w:color w:val="auto"/>
                <w:sz w:val="28"/>
                <w:szCs w:val="28"/>
                <w:lang w:eastAsia="zh-CN"/>
              </w:rPr>
              <w:t>55.457</w:t>
            </w:r>
            <w:r>
              <w:rPr>
                <w:rFonts w:hint="default" w:ascii="Times New Roman" w:hAnsi="Times New Roman" w:eastAsia="方正仿宋_GBK" w:cs="Times New Roman"/>
                <w:b/>
                <w:bCs/>
                <w:color w:val="auto"/>
                <w:sz w:val="28"/>
                <w:szCs w:val="28"/>
                <w:lang w:eastAsia="zh-CN"/>
              </w:rPr>
              <w:fldChar w:fldCharType="end"/>
            </w:r>
            <w:r>
              <w:rPr>
                <w:rFonts w:hint="eastAsia" w:ascii="Times New Roman" w:hAnsi="Times New Roman" w:eastAsia="方正仿宋_GBK" w:cs="Times New Roman"/>
                <w:b/>
                <w:bCs/>
                <w:color w:val="auto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1767" w:type="dxa"/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80" w:lineRule="exact"/>
              <w:ind w:left="0" w:leftChars="0" w:right="0" w:rightChars="0"/>
              <w:jc w:val="right"/>
              <w:textAlignment w:val="auto"/>
              <w:rPr>
                <w:rFonts w:hint="default" w:ascii="Times New Roman" w:hAnsi="Times New Roman" w:eastAsia="方正仿宋_GBK" w:cs="Times New Roman"/>
                <w:b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b/>
                <w:bCs/>
                <w:color w:val="auto"/>
                <w:sz w:val="28"/>
                <w:szCs w:val="28"/>
                <w:lang w:eastAsia="zh-CN"/>
              </w:rPr>
              <w:fldChar w:fldCharType="begin"/>
            </w:r>
            <w:r>
              <w:rPr>
                <w:rFonts w:hint="default" w:ascii="Times New Roman" w:hAnsi="Times New Roman" w:eastAsia="方正仿宋_GBK" w:cs="Times New Roman"/>
                <w:b/>
                <w:bCs/>
                <w:color w:val="auto"/>
                <w:sz w:val="28"/>
                <w:szCs w:val="28"/>
                <w:lang w:eastAsia="zh-CN"/>
              </w:rPr>
              <w:instrText xml:space="preserve"> =SUM(ABOVE) \* MERGEFORMAT </w:instrText>
            </w:r>
            <w:r>
              <w:rPr>
                <w:rFonts w:hint="default" w:ascii="Times New Roman" w:hAnsi="Times New Roman" w:eastAsia="方正仿宋_GBK" w:cs="Times New Roman"/>
                <w:b/>
                <w:bCs/>
                <w:color w:val="auto"/>
                <w:sz w:val="28"/>
                <w:szCs w:val="28"/>
                <w:lang w:eastAsia="zh-CN"/>
              </w:rPr>
              <w:fldChar w:fldCharType="separate"/>
            </w:r>
            <w:r>
              <w:rPr>
                <w:rFonts w:hint="default" w:ascii="Times New Roman" w:hAnsi="Times New Roman" w:eastAsia="方正仿宋_GBK" w:cs="Times New Roman"/>
                <w:b/>
                <w:bCs/>
                <w:color w:val="auto"/>
                <w:sz w:val="28"/>
                <w:szCs w:val="28"/>
                <w:lang w:eastAsia="zh-CN"/>
              </w:rPr>
              <w:t>36971.3</w:t>
            </w:r>
            <w:r>
              <w:rPr>
                <w:rFonts w:hint="default" w:ascii="Times New Roman" w:hAnsi="Times New Roman" w:eastAsia="方正仿宋_GBK" w:cs="Times New Roman"/>
                <w:b/>
                <w:bCs/>
                <w:color w:val="auto"/>
                <w:sz w:val="28"/>
                <w:szCs w:val="28"/>
                <w:lang w:eastAsia="zh-CN"/>
              </w:rPr>
              <w:fldChar w:fldCharType="end"/>
            </w:r>
            <w:r>
              <w:rPr>
                <w:rFonts w:hint="eastAsia" w:ascii="Times New Roman" w:hAnsi="Times New Roman" w:eastAsia="方正仿宋_GBK" w:cs="Times New Roman"/>
                <w:b/>
                <w:bCs/>
                <w:color w:val="auto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1657" w:type="dxa"/>
            <w:shd w:val="clear" w:color="auto" w:fill="auto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80" w:lineRule="exact"/>
              <w:ind w:left="0" w:leftChars="0" w:right="0" w:rightChars="0"/>
              <w:jc w:val="right"/>
              <w:textAlignment w:val="auto"/>
              <w:rPr>
                <w:rFonts w:hint="default" w:ascii="Times New Roman" w:hAnsi="Times New Roman" w:eastAsia="方正仿宋_GBK" w:cs="Times New Roman"/>
                <w:color w:val="auto"/>
                <w:sz w:val="28"/>
                <w:szCs w:val="28"/>
              </w:rPr>
            </w:pPr>
          </w:p>
        </w:tc>
      </w:tr>
    </w:tbl>
    <w:p>
      <w:pPr>
        <w:overflowPunct w:val="0"/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469255" cy="5861050"/>
            <wp:effectExtent l="0" t="0" r="1905" b="6350"/>
            <wp:docPr id="10" name="图片 10" descr="图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3_副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9255" cy="586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3" w:type="default"/>
      <w:footerReference r:id="rId4" w:type="default"/>
      <w:footerReference r:id="rId5" w:type="even"/>
      <w:pgSz w:w="11906" w:h="16838"/>
      <w:pgMar w:top="1701" w:right="1644" w:bottom="1417" w:left="1644" w:header="851" w:footer="1417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tabs>
        <w:tab w:val="clear" w:pos="4153"/>
      </w:tabs>
      <w:ind w:firstLine="50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140335</wp:posOffset>
              </wp:positionH>
              <wp:positionV relativeFrom="paragraph">
                <wp:posOffset>132080</wp:posOffset>
              </wp:positionV>
              <wp:extent cx="1058545" cy="40767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8545" cy="4076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val="en-US"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1.05pt;margin-top:10.4pt;height:32.1pt;width:83.35pt;mso-position-horizontal-relative:margin;z-index:251659264;mso-width-relative:page;mso-height-relative:page;" filled="f" stroked="f" coordsize="21600,21600" o:gfxdata="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/BsHZ1gAAAAgBAAAPAAAAAAAAAAEAIAAAACIAAABkcnMvZG93bnJl&#10;di54bWxQSwECFAAUAAAACACHTuJAm/f7UjgCAABiBAAADgAAAAAAAAABACAAAAAlAQAAZHJzL2Uy&#10;b0RvYy54bWxQSwUGAAAAAAYABgBZAQAAzwUAAAAA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val="en-US"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14D64D0D"/>
    <w:rsid w:val="14D64D0D"/>
    <w:rsid w:val="194A159F"/>
    <w:rsid w:val="66B35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 w:cs="Times New Roman"/>
      <w:sz w:val="18"/>
      <w:szCs w:val="18"/>
    </w:rPr>
  </w:style>
  <w:style w:type="paragraph" w:styleId="3">
    <w:name w:val="header"/>
    <w:basedOn w:val="1"/>
    <w:autoRedefine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2025-05-30T07:59:00Z</dcterms:created>
  <dc:creator>周娜</dc:creator>
  <cp:lastModifiedBy>周娜</cp:lastModifiedBy>
  <dcterms:modified xsi:type="dcterms:W3CDTF">2025-05-30T08:10:40Z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EE6B270F22C44ECFA69984602902C6BF_11</vt:lpwstr>
  </property>
</Properties>
</file>